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ind w:left="0" w:leftChars="0" w:firstLine="0" w:firstLineChars="0"/>
        <w:jc w:val="both"/>
        <w:rPr>
          <w:rFonts w:hint="eastAsia"/>
          <w:sz w:val="32"/>
          <w:szCs w:val="32"/>
          <w:lang w:val="en-US" w:eastAsia="zh-CN"/>
        </w:rPr>
      </w:pPr>
      <w:r>
        <w:rPr>
          <w:rFonts w:hint="eastAsia"/>
          <w:sz w:val="32"/>
          <w:szCs w:val="32"/>
          <w:lang w:val="en-US" w:eastAsia="zh-CN"/>
        </w:rPr>
        <w:t>附件四</w:t>
      </w:r>
    </w:p>
    <w:p>
      <w:pPr>
        <w:pStyle w:val="2"/>
        <w:rPr>
          <w:rFonts w:hint="eastAsia"/>
          <w:sz w:val="32"/>
          <w:szCs w:val="32"/>
          <w:lang w:val="en-US" w:eastAsia="zh-CN"/>
        </w:rPr>
      </w:pPr>
    </w:p>
    <w:p>
      <w:pPr>
        <w:jc w:val="center"/>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color w:val="auto"/>
          <w:sz w:val="44"/>
          <w:szCs w:val="44"/>
          <w:lang w:val="en-US" w:eastAsia="zh-CN"/>
        </w:rPr>
        <w:t>项目情况</w:t>
      </w:r>
      <w:bookmarkStart w:id="437" w:name="_GoBack"/>
      <w:bookmarkEnd w:id="437"/>
    </w:p>
    <w:p>
      <w:pPr>
        <w:pStyle w:val="2"/>
        <w:kinsoku/>
        <w:wordWrap/>
        <w:topLinePunct w:val="0"/>
        <w:autoSpaceDE/>
        <w:autoSpaceDN/>
        <w:bidi w:val="0"/>
        <w:spacing w:line="560" w:lineRule="exact"/>
        <w:rPr>
          <w:rFonts w:hint="eastAsia"/>
          <w:lang w:val="en-US" w:eastAsia="zh-CN"/>
        </w:rPr>
      </w:pPr>
    </w:p>
    <w:p>
      <w:pPr>
        <w:kinsoku/>
        <w:wordWrap/>
        <w:topLinePunct w:val="0"/>
        <w:autoSpaceDE/>
        <w:autoSpaceDN/>
        <w:bidi w:val="0"/>
        <w:spacing w:line="560" w:lineRule="exact"/>
        <w:ind w:left="0" w:leftChars="0" w:firstLine="0" w:firstLineChars="0"/>
        <w:jc w:val="both"/>
        <w:rPr>
          <w:rFonts w:hint="eastAsia" w:ascii="方正黑体_GBK" w:hAnsi="方正黑体_GBK" w:eastAsia="方正黑体_GBK" w:cs="方正黑体_GBK"/>
          <w:b/>
          <w:bCs/>
          <w:sz w:val="32"/>
          <w:szCs w:val="32"/>
          <w:lang w:eastAsia="zh-CN"/>
        </w:rPr>
      </w:pPr>
      <w:r>
        <w:rPr>
          <w:rFonts w:hint="eastAsia" w:ascii="方正黑体_GBK" w:hAnsi="方正黑体_GBK" w:eastAsia="方正黑体_GBK" w:cs="方正黑体_GBK"/>
          <w:b/>
          <w:bCs/>
          <w:sz w:val="32"/>
          <w:szCs w:val="32"/>
          <w:lang w:eastAsia="zh-CN"/>
        </w:rPr>
        <w:t>一、</w:t>
      </w:r>
      <w:r>
        <w:rPr>
          <w:rFonts w:hint="eastAsia" w:ascii="方正黑体_GBK" w:hAnsi="方正黑体_GBK" w:eastAsia="方正黑体_GBK" w:cs="方正黑体_GBK"/>
          <w:b/>
          <w:bCs/>
          <w:sz w:val="32"/>
          <w:szCs w:val="32"/>
        </w:rPr>
        <w:t>项目</w:t>
      </w:r>
      <w:r>
        <w:rPr>
          <w:rFonts w:hint="eastAsia" w:ascii="方正黑体_GBK" w:hAnsi="方正黑体_GBK" w:eastAsia="方正黑体_GBK" w:cs="方正黑体_GBK"/>
          <w:b/>
          <w:bCs/>
          <w:sz w:val="32"/>
          <w:szCs w:val="32"/>
          <w:lang w:eastAsia="zh-CN"/>
        </w:rPr>
        <w:t>情况介绍</w:t>
      </w:r>
    </w:p>
    <w:p>
      <w:pPr>
        <w:pStyle w:val="5"/>
        <w:kinsoku/>
        <w:wordWrap/>
        <w:topLinePunct w:val="0"/>
        <w:autoSpaceDE/>
        <w:autoSpaceDN/>
        <w:bidi w:val="0"/>
        <w:spacing w:before="198" w:after="198" w:line="560" w:lineRule="exact"/>
        <w:rPr>
          <w:rFonts w:hint="default"/>
        </w:rPr>
      </w:pPr>
      <w:bookmarkStart w:id="0" w:name="_Toc5567"/>
      <w:bookmarkStart w:id="1" w:name="_Toc4007"/>
      <w:bookmarkStart w:id="2" w:name="_Toc1452"/>
      <w:bookmarkStart w:id="3" w:name="_Toc4479"/>
      <w:bookmarkStart w:id="4" w:name="_Toc23117"/>
      <w:bookmarkStart w:id="5" w:name="_Toc22140"/>
      <w:bookmarkStart w:id="6" w:name="_Toc14912"/>
      <w:r>
        <w:t>项目名称</w:t>
      </w:r>
      <w:bookmarkEnd w:id="0"/>
      <w:bookmarkEnd w:id="1"/>
      <w:bookmarkEnd w:id="2"/>
      <w:bookmarkEnd w:id="3"/>
      <w:bookmarkEnd w:id="4"/>
      <w:bookmarkEnd w:id="5"/>
      <w:bookmarkEnd w:id="6"/>
    </w:p>
    <w:p>
      <w:pPr>
        <w:pStyle w:val="2"/>
        <w:kinsoku/>
        <w:wordWrap/>
        <w:topLinePunct w:val="0"/>
        <w:autoSpaceDE/>
        <w:autoSpaceDN/>
        <w:bidi w:val="0"/>
        <w:spacing w:line="560" w:lineRule="exact"/>
        <w:ind w:firstLine="604"/>
        <w:jc w:val="both"/>
        <w:rPr>
          <w:rFonts w:ascii="方正仿宋_GBK" w:hAnsi="方正仿宋_GBK"/>
        </w:rPr>
      </w:pPr>
      <w:bookmarkStart w:id="7" w:name="_Toc9899"/>
      <w:bookmarkStart w:id="8" w:name="_Toc10449"/>
      <w:bookmarkStart w:id="9" w:name="_Toc13176"/>
      <w:bookmarkStart w:id="10" w:name="_Toc12394"/>
      <w:bookmarkStart w:id="11" w:name="_Toc19070"/>
      <w:bookmarkStart w:id="12" w:name="_Toc15971"/>
      <w:bookmarkStart w:id="13" w:name="_Toc2078"/>
      <w:bookmarkStart w:id="14" w:name="_Toc26080"/>
      <w:bookmarkStart w:id="15" w:name="_Toc521203589"/>
      <w:bookmarkStart w:id="16" w:name="_Toc521204004"/>
      <w:bookmarkStart w:id="17" w:name="_Toc170892477"/>
      <w:bookmarkStart w:id="18" w:name="_Toc18787"/>
      <w:bookmarkStart w:id="19" w:name="_Toc21623"/>
      <w:bookmarkStart w:id="20" w:name="_Toc26277"/>
      <w:r>
        <w:rPr>
          <w:rFonts w:hint="eastAsia" w:ascii="方正仿宋_GBK" w:hAnsi="方正仿宋_GBK"/>
        </w:rPr>
        <w:t>本项目名称为</w:t>
      </w:r>
      <w:bookmarkStart w:id="21" w:name="_Hlk76973459"/>
      <w:r>
        <w:rPr>
          <w:rFonts w:hint="eastAsia" w:ascii="方正仿宋_GBK" w:hAnsi="方正仿宋_GBK"/>
        </w:rPr>
        <w:t>重庆市农业投资集团有限公司数智化管控系统项目（一期）初步设计及概算</w:t>
      </w:r>
      <w:bookmarkEnd w:id="21"/>
      <w:r>
        <w:rPr>
          <w:rFonts w:hint="eastAsia" w:ascii="方正仿宋_GBK" w:hAnsi="方正仿宋_GBK"/>
        </w:rPr>
        <w:t>编制（以下简称“本项目”）。本文件是该项目的初步设计及概算文件。</w:t>
      </w:r>
    </w:p>
    <w:bookmarkEnd w:id="7"/>
    <w:bookmarkEnd w:id="8"/>
    <w:bookmarkEnd w:id="9"/>
    <w:bookmarkEnd w:id="10"/>
    <w:bookmarkEnd w:id="11"/>
    <w:bookmarkEnd w:id="12"/>
    <w:bookmarkEnd w:id="13"/>
    <w:bookmarkEnd w:id="14"/>
    <w:bookmarkEnd w:id="15"/>
    <w:bookmarkEnd w:id="16"/>
    <w:bookmarkEnd w:id="17"/>
    <w:bookmarkEnd w:id="18"/>
    <w:bookmarkEnd w:id="19"/>
    <w:bookmarkEnd w:id="20"/>
    <w:p>
      <w:pPr>
        <w:pStyle w:val="5"/>
        <w:kinsoku/>
        <w:wordWrap/>
        <w:topLinePunct w:val="0"/>
        <w:autoSpaceDE/>
        <w:autoSpaceDN/>
        <w:bidi w:val="0"/>
        <w:spacing w:before="198" w:after="198" w:line="560" w:lineRule="exact"/>
        <w:rPr>
          <w:rFonts w:hint="default"/>
        </w:rPr>
      </w:pPr>
      <w:bookmarkStart w:id="22" w:name="_Toc2761"/>
      <w:bookmarkStart w:id="23" w:name="_Toc19607"/>
      <w:bookmarkStart w:id="24" w:name="_Toc6908"/>
      <w:r>
        <w:t>建设目标、规模及内容、建设期</w:t>
      </w:r>
      <w:bookmarkEnd w:id="22"/>
      <w:bookmarkEnd w:id="23"/>
      <w:bookmarkEnd w:id="24"/>
    </w:p>
    <w:p>
      <w:pPr>
        <w:pStyle w:val="6"/>
        <w:kinsoku/>
        <w:wordWrap/>
        <w:topLinePunct w:val="0"/>
        <w:autoSpaceDE/>
        <w:autoSpaceDN/>
        <w:bidi w:val="0"/>
        <w:spacing w:before="198" w:after="198" w:line="560" w:lineRule="exact"/>
      </w:pPr>
      <w:bookmarkStart w:id="25" w:name="_Toc15054"/>
      <w:bookmarkStart w:id="26" w:name="_Toc10124"/>
      <w:bookmarkStart w:id="27" w:name="_Toc10203"/>
      <w:bookmarkStart w:id="28" w:name="_Toc13664"/>
      <w:bookmarkStart w:id="29" w:name="_Toc7804"/>
      <w:bookmarkStart w:id="30" w:name="_Toc14875"/>
      <w:bookmarkStart w:id="31" w:name="_Toc2365"/>
      <w:bookmarkStart w:id="32" w:name="_Toc22201083"/>
      <w:r>
        <w:rPr>
          <w:rFonts w:hint="eastAsia"/>
        </w:rPr>
        <w:t>建设目标</w:t>
      </w:r>
      <w:bookmarkEnd w:id="25"/>
      <w:bookmarkEnd w:id="26"/>
      <w:bookmarkEnd w:id="27"/>
      <w:bookmarkEnd w:id="28"/>
      <w:bookmarkEnd w:id="29"/>
      <w:bookmarkEnd w:id="30"/>
      <w:bookmarkEnd w:id="31"/>
      <w:bookmarkEnd w:id="32"/>
    </w:p>
    <w:p>
      <w:pPr>
        <w:pStyle w:val="2"/>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通过数智化管控系统</w:t>
      </w:r>
      <w:r>
        <w:rPr>
          <w:rFonts w:hint="eastAsia" w:ascii="方正仿宋_GBK" w:hAnsi="方正仿宋_GBK"/>
          <w:lang w:eastAsia="zh-Hans"/>
        </w:rPr>
        <w:t>的建设，</w:t>
      </w:r>
      <w:r>
        <w:rPr>
          <w:rFonts w:hint="eastAsia" w:ascii="方正仿宋_GBK" w:hAnsi="方正仿宋_GBK"/>
        </w:rPr>
        <w:t>实现集团信息数字化、业务数字化，使业务与</w:t>
      </w:r>
      <w:r>
        <w:rPr>
          <w:rFonts w:hint="eastAsia" w:ascii="方正仿宋_GBK" w:hAnsi="方正仿宋_GBK"/>
          <w:lang w:val="en-US" w:eastAsia="zh-CN"/>
        </w:rPr>
        <w:t>数智化</w:t>
      </w:r>
      <w:r>
        <w:rPr>
          <w:rFonts w:hint="eastAsia" w:ascii="方正仿宋_GBK" w:hAnsi="方正仿宋_GBK"/>
        </w:rPr>
        <w:t>系统有机深度融合，横向业务协同，纵向数据贯通，促进集团管控工作精细化、精准化、智能化、效率化开展，</w:t>
      </w:r>
      <w:r>
        <w:rPr>
          <w:rFonts w:hint="eastAsia" w:ascii="方正仿宋_GBK" w:hAnsi="方正仿宋_GBK"/>
          <w:lang w:eastAsia="zh-Hans"/>
        </w:rPr>
        <w:t>全面</w:t>
      </w:r>
      <w:r>
        <w:rPr>
          <w:rFonts w:hint="eastAsia" w:ascii="方正仿宋_GBK" w:hAnsi="方正仿宋_GBK"/>
        </w:rPr>
        <w:t>提升集团管控效率和效果，提升集团战略体系的执行绩效，不断增强集团核心竞争力，促进集团管理体系和管理能力现代化，为把集团打造成为具有较强竞争力的全国一流大型农食品产融集团提供数智化管理保障。</w:t>
      </w:r>
    </w:p>
    <w:p>
      <w:pPr>
        <w:kinsoku/>
        <w:wordWrap/>
        <w:topLinePunct w:val="0"/>
        <w:autoSpaceDE/>
        <w:autoSpaceDN/>
        <w:bidi w:val="0"/>
        <w:spacing w:line="560" w:lineRule="exact"/>
        <w:ind w:left="604" w:leftChars="200" w:firstLine="0" w:firstLineChars="0"/>
        <w:rPr>
          <w:rFonts w:ascii="方正仿宋_GBK" w:hAnsi="方正仿宋_GBK"/>
        </w:rPr>
      </w:pPr>
      <w:r>
        <w:rPr>
          <w:rFonts w:hint="eastAsia" w:ascii="方正仿宋_GBK" w:hAnsi="方正仿宋_GBK"/>
        </w:rPr>
        <w:t>1.加强战略管理，提升集团核心竞争力</w:t>
      </w:r>
    </w:p>
    <w:p>
      <w:pPr>
        <w:pStyle w:val="2"/>
        <w:kinsoku/>
        <w:wordWrap/>
        <w:topLinePunct w:val="0"/>
        <w:autoSpaceDE/>
        <w:autoSpaceDN/>
        <w:bidi w:val="0"/>
        <w:spacing w:line="560" w:lineRule="exact"/>
        <w:ind w:firstLine="604"/>
        <w:rPr>
          <w:rFonts w:ascii="方正仿宋_GBK" w:hAnsi="方正仿宋_GBK"/>
          <w:lang w:eastAsia="zh-Hans"/>
        </w:rPr>
      </w:pPr>
      <w:r>
        <w:rPr>
          <w:rFonts w:hint="eastAsia" w:ascii="方正仿宋_GBK" w:hAnsi="方正仿宋_GBK"/>
        </w:rPr>
        <w:t>以集团新时期战略体系为指引，通过建设数智化战略管控系统、投资管理、经营管理，财务管理、资产管理、风险管理、人力资源管理等，</w:t>
      </w:r>
      <w:r>
        <w:rPr>
          <w:rFonts w:hint="eastAsia" w:ascii="方正仿宋_GBK" w:hAnsi="方正仿宋_GBK"/>
          <w:lang w:eastAsia="zh-Hans"/>
        </w:rPr>
        <w:t>推动集团</w:t>
      </w:r>
      <w:r>
        <w:rPr>
          <w:rFonts w:hint="eastAsia" w:ascii="方正仿宋_GBK" w:hAnsi="方正仿宋_GBK"/>
        </w:rPr>
        <w:t>公司</w:t>
      </w:r>
      <w:r>
        <w:rPr>
          <w:rFonts w:hint="eastAsia" w:ascii="方正仿宋_GBK" w:hAnsi="方正仿宋_GBK"/>
          <w:lang w:eastAsia="zh-Hans"/>
        </w:rPr>
        <w:t>实现数字管控，促进集团战略体系</w:t>
      </w:r>
      <w:r>
        <w:rPr>
          <w:rFonts w:hint="eastAsia" w:ascii="方正仿宋_GBK" w:hAnsi="方正仿宋_GBK"/>
        </w:rPr>
        <w:t>有效</w:t>
      </w:r>
      <w:r>
        <w:rPr>
          <w:rFonts w:hint="eastAsia" w:ascii="方正仿宋_GBK" w:hAnsi="方正仿宋_GBK"/>
          <w:lang w:eastAsia="zh-Hans"/>
        </w:rPr>
        <w:t>落地</w:t>
      </w:r>
      <w:r>
        <w:rPr>
          <w:rFonts w:hint="eastAsia" w:ascii="方正仿宋_GBK" w:hAnsi="方正仿宋_GBK"/>
        </w:rPr>
        <w:t>，提升集团核心竞争力，为把集团打造成为具有较强竞争力的全国一流大型农食品产融集团提</w:t>
      </w:r>
      <w:r>
        <w:rPr>
          <w:rFonts w:hint="eastAsia" w:ascii="方正仿宋_GBK" w:hAnsi="方正仿宋_GBK"/>
          <w:lang w:eastAsia="zh-Hans"/>
        </w:rPr>
        <w:t>供</w:t>
      </w:r>
      <w:r>
        <w:rPr>
          <w:rFonts w:hint="eastAsia" w:ascii="方正仿宋_GBK" w:hAnsi="方正仿宋_GBK"/>
        </w:rPr>
        <w:t>数智化</w:t>
      </w:r>
      <w:r>
        <w:rPr>
          <w:rFonts w:hint="eastAsia" w:ascii="方正仿宋_GBK" w:hAnsi="方正仿宋_GBK"/>
          <w:lang w:eastAsia="zh-Hans"/>
        </w:rPr>
        <w:t>保障。</w:t>
      </w:r>
    </w:p>
    <w:p>
      <w:pPr>
        <w:kinsoku/>
        <w:wordWrap/>
        <w:topLinePunct w:val="0"/>
        <w:autoSpaceDE/>
        <w:autoSpaceDN/>
        <w:bidi w:val="0"/>
        <w:spacing w:line="560" w:lineRule="exact"/>
        <w:ind w:left="604" w:leftChars="200" w:firstLine="0" w:firstLineChars="0"/>
        <w:rPr>
          <w:rFonts w:ascii="方正仿宋_GBK" w:hAnsi="方正仿宋_GBK"/>
          <w:lang w:eastAsia="zh-Hans"/>
        </w:rPr>
      </w:pPr>
      <w:r>
        <w:rPr>
          <w:rFonts w:hint="eastAsia" w:ascii="方正仿宋_GBK" w:hAnsi="方正仿宋_GBK"/>
        </w:rPr>
        <w:t>2.</w:t>
      </w:r>
      <w:r>
        <w:rPr>
          <w:rFonts w:hint="eastAsia" w:ascii="方正仿宋_GBK" w:hAnsi="方正仿宋_GBK"/>
          <w:lang w:eastAsia="zh-Hans"/>
        </w:rPr>
        <w:t>精细运营管理，提升集团管控效率</w:t>
      </w:r>
    </w:p>
    <w:p>
      <w:pPr>
        <w:pStyle w:val="2"/>
        <w:kinsoku/>
        <w:wordWrap/>
        <w:topLinePunct w:val="0"/>
        <w:autoSpaceDE/>
        <w:autoSpaceDN/>
        <w:bidi w:val="0"/>
        <w:spacing w:line="560" w:lineRule="exact"/>
        <w:ind w:firstLine="604"/>
        <w:rPr>
          <w:rFonts w:ascii="方正仿宋_GBK" w:hAnsi="方正仿宋_GBK"/>
          <w:lang w:eastAsia="zh-Hans"/>
        </w:rPr>
      </w:pPr>
      <w:r>
        <w:rPr>
          <w:rFonts w:hint="eastAsia" w:ascii="方正仿宋_GBK" w:hAnsi="方正仿宋_GBK"/>
          <w:lang w:eastAsia="zh-Hans"/>
        </w:rPr>
        <w:t>围绕集团管理目标，实现相关部门信息互联互通、业务协同联动，全面增强集团企业的实时监控和动态管理能力，形成智能决策、精准治理、多方协作的管理新模式，</w:t>
      </w:r>
      <w:r>
        <w:rPr>
          <w:rFonts w:hint="eastAsia" w:ascii="方正仿宋_GBK" w:hAnsi="方正仿宋_GBK"/>
        </w:rPr>
        <w:t>使</w:t>
      </w:r>
      <w:r>
        <w:rPr>
          <w:rFonts w:hint="eastAsia" w:ascii="方正仿宋_GBK" w:hAnsi="方正仿宋_GBK"/>
          <w:lang w:eastAsia="zh-Hans"/>
        </w:rPr>
        <w:t>集团运营管理效能显著增强，进一步提升集团精细化管理水平和辅助决策效率。</w:t>
      </w:r>
    </w:p>
    <w:p>
      <w:pPr>
        <w:kinsoku/>
        <w:wordWrap/>
        <w:topLinePunct w:val="0"/>
        <w:autoSpaceDE/>
        <w:autoSpaceDN/>
        <w:bidi w:val="0"/>
        <w:spacing w:line="560" w:lineRule="exact"/>
        <w:ind w:left="604" w:leftChars="200" w:firstLine="0" w:firstLineChars="0"/>
        <w:rPr>
          <w:rFonts w:ascii="方正仿宋_GBK" w:hAnsi="方正仿宋_GBK"/>
          <w:lang w:eastAsia="zh-Hans"/>
        </w:rPr>
      </w:pPr>
      <w:r>
        <w:rPr>
          <w:rFonts w:hint="eastAsia" w:ascii="方正仿宋_GBK" w:hAnsi="方正仿宋_GBK"/>
        </w:rPr>
        <w:t>3.</w:t>
      </w:r>
      <w:r>
        <w:rPr>
          <w:rFonts w:hint="eastAsia" w:ascii="方正仿宋_GBK" w:hAnsi="方正仿宋_GBK"/>
          <w:lang w:eastAsia="zh-Hans"/>
        </w:rPr>
        <w:t>完善风险控制，降低集团运行风险</w:t>
      </w:r>
    </w:p>
    <w:p>
      <w:pPr>
        <w:pStyle w:val="2"/>
        <w:kinsoku/>
        <w:wordWrap/>
        <w:topLinePunct w:val="0"/>
        <w:autoSpaceDE/>
        <w:autoSpaceDN/>
        <w:bidi w:val="0"/>
        <w:spacing w:line="560" w:lineRule="exact"/>
        <w:ind w:firstLine="604"/>
        <w:rPr>
          <w:rFonts w:ascii="方正仿宋_GBK" w:hAnsi="方正仿宋_GBK"/>
        </w:rPr>
      </w:pPr>
      <w:r>
        <w:rPr>
          <w:rFonts w:hint="eastAsia" w:ascii="方正仿宋_GBK" w:hAnsi="方正仿宋_GBK"/>
          <w:lang w:eastAsia="zh-Hans"/>
        </w:rPr>
        <w:t>完善风险管控机制，加快自动预警与</w:t>
      </w:r>
      <w:r>
        <w:rPr>
          <w:rFonts w:hint="eastAsia" w:ascii="方正仿宋_GBK" w:hAnsi="方正仿宋_GBK"/>
        </w:rPr>
        <w:t>数智化</w:t>
      </w:r>
      <w:r>
        <w:rPr>
          <w:rFonts w:hint="eastAsia" w:ascii="方正仿宋_GBK" w:hAnsi="方正仿宋_GBK"/>
          <w:lang w:eastAsia="zh-Hans"/>
        </w:rPr>
        <w:t>风控建设，协同</w:t>
      </w:r>
      <w:r>
        <w:rPr>
          <w:rFonts w:hint="eastAsia" w:ascii="方正仿宋_GBK" w:hAnsi="方正仿宋_GBK"/>
        </w:rPr>
        <w:t>数智化管控</w:t>
      </w:r>
      <w:r>
        <w:rPr>
          <w:rFonts w:hint="eastAsia" w:ascii="方正仿宋_GBK" w:hAnsi="方正仿宋_GBK"/>
          <w:lang w:eastAsia="zh-Hans"/>
        </w:rPr>
        <w:t>系统，合理保障合理保</w:t>
      </w:r>
      <w:r>
        <w:rPr>
          <w:rFonts w:hint="eastAsia" w:ascii="方正仿宋_GBK" w:hAnsi="方正仿宋_GBK"/>
        </w:rPr>
        <w:t>证实现经营管理目标、财务财产安全，保证企业运营有关规章制度有序进行，同时确保集团业务良性发展，切实提高投资收益质量，最大程度地防范和降低集团运行风险，确保集团利益。</w:t>
      </w:r>
    </w:p>
    <w:p>
      <w:pPr>
        <w:kinsoku/>
        <w:wordWrap/>
        <w:topLinePunct w:val="0"/>
        <w:autoSpaceDE/>
        <w:autoSpaceDN/>
        <w:bidi w:val="0"/>
        <w:spacing w:line="560" w:lineRule="exact"/>
        <w:ind w:left="604" w:leftChars="200" w:firstLine="0" w:firstLineChars="0"/>
        <w:rPr>
          <w:rFonts w:hint="default" w:ascii="方正仿宋_GBK" w:hAnsi="方正仿宋_GBK" w:eastAsia="方正仿宋_GBK"/>
          <w:lang w:val="en-US" w:eastAsia="zh-CN"/>
        </w:rPr>
      </w:pPr>
      <w:r>
        <w:rPr>
          <w:rFonts w:hint="eastAsia" w:ascii="方正仿宋_GBK" w:hAnsi="方正仿宋_GBK"/>
        </w:rPr>
        <w:t>4.</w:t>
      </w:r>
      <w:r>
        <w:rPr>
          <w:rFonts w:hint="eastAsia" w:ascii="方正仿宋_GBK" w:hAnsi="方正仿宋_GBK"/>
          <w:lang w:val="en-US" w:eastAsia="zh-CN"/>
        </w:rPr>
        <w:t>形成</w:t>
      </w:r>
      <w:r>
        <w:rPr>
          <w:rFonts w:hint="eastAsia" w:ascii="方正仿宋_GBK" w:hAnsi="方正仿宋_GBK"/>
        </w:rPr>
        <w:t>协同办公，促进</w:t>
      </w:r>
      <w:r>
        <w:rPr>
          <w:rFonts w:hint="eastAsia" w:ascii="方正仿宋_GBK" w:hAnsi="方正仿宋_GBK"/>
          <w:lang w:val="en-US" w:eastAsia="zh-CN"/>
        </w:rPr>
        <w:t>组织运行在线在时</w:t>
      </w:r>
    </w:p>
    <w:p>
      <w:pPr>
        <w:pStyle w:val="2"/>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充分发挥数字化驱动作用，建设完善集团数智化管理系统，统一基础数据标准，实现企业内部业务数据互联互通，强化协同办公，增强企业的凝聚力与核心竞争力，</w:t>
      </w:r>
      <w:r>
        <w:rPr>
          <w:rFonts w:hint="eastAsia" w:ascii="方正仿宋_GBK" w:hAnsi="方正仿宋_GBK"/>
          <w:lang w:val="en-US" w:eastAsia="zh-CN"/>
        </w:rPr>
        <w:t>促进组织运行在线在时，</w:t>
      </w:r>
      <w:r>
        <w:rPr>
          <w:rFonts w:hint="eastAsia" w:ascii="方正仿宋_GBK" w:hAnsi="方正仿宋_GBK"/>
        </w:rPr>
        <w:t>加快集团</w:t>
      </w:r>
      <w:r>
        <w:rPr>
          <w:rFonts w:hint="eastAsia" w:ascii="方正仿宋_GBK" w:hAnsi="方正仿宋_GBK"/>
          <w:lang w:val="en-US" w:eastAsia="zh-CN"/>
        </w:rPr>
        <w:t>数智化</w:t>
      </w:r>
      <w:r>
        <w:rPr>
          <w:rFonts w:hint="eastAsia" w:ascii="方正仿宋_GBK" w:hAnsi="方正仿宋_GBK"/>
        </w:rPr>
        <w:t>进程。</w:t>
      </w:r>
    </w:p>
    <w:p>
      <w:pPr>
        <w:pStyle w:val="6"/>
        <w:kinsoku/>
        <w:wordWrap/>
        <w:topLinePunct w:val="0"/>
        <w:autoSpaceDE/>
        <w:autoSpaceDN/>
        <w:bidi w:val="0"/>
        <w:spacing w:before="198" w:after="198" w:line="560" w:lineRule="exact"/>
      </w:pPr>
      <w:bookmarkStart w:id="33" w:name="_Toc1271"/>
      <w:bookmarkStart w:id="34" w:name="_Toc26341"/>
      <w:bookmarkStart w:id="35" w:name="_Toc22201084"/>
      <w:bookmarkStart w:id="36" w:name="_Toc10585"/>
      <w:bookmarkStart w:id="37" w:name="_Toc2851"/>
      <w:bookmarkStart w:id="38" w:name="_Toc27107"/>
      <w:bookmarkStart w:id="39" w:name="_Toc21253"/>
      <w:bookmarkStart w:id="40" w:name="_Toc4247"/>
      <w:r>
        <w:rPr>
          <w:rFonts w:hint="eastAsia"/>
        </w:rPr>
        <w:t>建设</w:t>
      </w:r>
      <w:r>
        <w:rPr>
          <w:rFonts w:hint="eastAsia"/>
          <w:lang w:val="en-US" w:eastAsia="zh-CN"/>
        </w:rPr>
        <w:t>规模及</w:t>
      </w:r>
      <w:r>
        <w:rPr>
          <w:rFonts w:hint="eastAsia"/>
        </w:rPr>
        <w:t>内容</w:t>
      </w:r>
      <w:bookmarkEnd w:id="33"/>
      <w:bookmarkEnd w:id="34"/>
      <w:bookmarkEnd w:id="35"/>
      <w:bookmarkEnd w:id="36"/>
      <w:bookmarkEnd w:id="37"/>
      <w:bookmarkEnd w:id="38"/>
      <w:bookmarkEnd w:id="39"/>
      <w:bookmarkEnd w:id="40"/>
    </w:p>
    <w:p>
      <w:pPr>
        <w:pStyle w:val="2"/>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本项目从落实集团公司新时期战略体系角度出发，建设一套满足集团战略高效落地的数智化管控体系，实现集团数智化战略投资、</w:t>
      </w:r>
      <w:r>
        <w:rPr>
          <w:rFonts w:hint="eastAsia" w:ascii="方正仿宋_GBK" w:hAnsi="方正仿宋_GBK"/>
          <w:lang w:val="en-US" w:eastAsia="zh-CN"/>
        </w:rPr>
        <w:t>数智化</w:t>
      </w:r>
      <w:r>
        <w:rPr>
          <w:rFonts w:hint="eastAsia" w:ascii="方正仿宋_GBK" w:hAnsi="方正仿宋_GBK"/>
        </w:rPr>
        <w:t>经营管理、</w:t>
      </w:r>
      <w:r>
        <w:rPr>
          <w:rFonts w:hint="eastAsia" w:ascii="方正仿宋_GBK" w:hAnsi="方正仿宋_GBK"/>
          <w:lang w:val="en-US" w:eastAsia="zh-CN"/>
        </w:rPr>
        <w:t>数智化</w:t>
      </w:r>
      <w:r>
        <w:rPr>
          <w:rFonts w:hint="eastAsia" w:ascii="方正仿宋_GBK" w:hAnsi="方正仿宋_GBK"/>
        </w:rPr>
        <w:t>创新管理、数智化财务管理、数智化人力资源管理</w:t>
      </w:r>
      <w:r>
        <w:rPr>
          <w:rFonts w:hint="eastAsia" w:ascii="方正仿宋_GBK" w:hAnsi="方正仿宋_GBK"/>
          <w:lang w:eastAsia="zh-CN"/>
        </w:rPr>
        <w:t>、</w:t>
      </w:r>
      <w:r>
        <w:rPr>
          <w:rFonts w:hint="eastAsia" w:ascii="方正仿宋_GBK" w:hAnsi="方正仿宋_GBK"/>
        </w:rPr>
        <w:t>数智化法务及风险管理、数智化审计管理</w:t>
      </w:r>
      <w:r>
        <w:rPr>
          <w:rFonts w:hint="eastAsia" w:ascii="方正仿宋_GBK" w:hAnsi="方正仿宋_GBK"/>
          <w:lang w:eastAsia="zh-CN"/>
        </w:rPr>
        <w:t>、</w:t>
      </w:r>
      <w:r>
        <w:rPr>
          <w:rFonts w:hint="eastAsia" w:ascii="方正仿宋_GBK" w:hAnsi="方正仿宋_GBK"/>
        </w:rPr>
        <w:t>数智化协同办公等业务需求</w:t>
      </w:r>
      <w:r>
        <w:rPr>
          <w:rFonts w:hint="eastAsia" w:ascii="方正仿宋_GBK" w:hAnsi="方正仿宋_GBK"/>
          <w:lang w:eastAsia="zh-CN"/>
        </w:rPr>
        <w:t>，</w:t>
      </w:r>
      <w:r>
        <w:rPr>
          <w:rFonts w:hint="eastAsia" w:ascii="方正仿宋_GBK" w:hAnsi="方正仿宋_GBK"/>
        </w:rPr>
        <w:t>通过与数据采集交换平台对接，实现集团全级次的常态化数据采集报送，同时具备后续增加业务应用系统的扩展能力。项目建成后，将满足包括集团公司及其所出资企业人员的使用需求。建设</w:t>
      </w:r>
      <w:r>
        <w:rPr>
          <w:rFonts w:hint="eastAsia" w:ascii="方正仿宋_GBK" w:hAnsi="方正仿宋_GBK"/>
          <w:lang w:val="en-US" w:eastAsia="zh-CN"/>
        </w:rPr>
        <w:t>规模及</w:t>
      </w:r>
      <w:r>
        <w:rPr>
          <w:rFonts w:hint="eastAsia" w:ascii="方正仿宋_GBK" w:hAnsi="方正仿宋_GBK"/>
        </w:rPr>
        <w:t>内容见下表：</w:t>
      </w:r>
    </w:p>
    <w:p>
      <w:pPr>
        <w:numPr>
          <w:ilvl w:val="0"/>
          <w:numId w:val="2"/>
        </w:numPr>
        <w:kinsoku/>
        <w:wordWrap/>
        <w:topLinePunct w:val="0"/>
        <w:autoSpaceDE/>
        <w:autoSpaceDN/>
        <w:bidi w:val="0"/>
        <w:spacing w:before="397" w:beforeLines="100" w:line="560" w:lineRule="exact"/>
        <w:ind w:firstLine="604"/>
        <w:jc w:val="center"/>
        <w:rPr>
          <w:rFonts w:ascii="方正仿宋_GBK" w:hAnsi="方正仿宋_GBK"/>
        </w:rPr>
      </w:pPr>
      <w:r>
        <w:rPr>
          <w:rFonts w:hint="eastAsia" w:ascii="方正仿宋_GBK" w:hAnsi="方正仿宋_GBK"/>
        </w:rPr>
        <w:t>建设</w:t>
      </w:r>
      <w:r>
        <w:rPr>
          <w:rFonts w:hint="eastAsia" w:ascii="方正仿宋_GBK" w:hAnsi="方正仿宋_GBK"/>
          <w:lang w:val="en-US" w:eastAsia="zh-CN"/>
        </w:rPr>
        <w:t>规模及</w:t>
      </w:r>
      <w:r>
        <w:rPr>
          <w:rFonts w:hint="eastAsia" w:ascii="方正仿宋_GBK" w:hAnsi="方正仿宋_GBK"/>
        </w:rPr>
        <w:t>内容</w:t>
      </w:r>
    </w:p>
    <w:tbl>
      <w:tblPr>
        <w:tblStyle w:val="1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876"/>
        <w:gridCol w:w="2448"/>
        <w:gridCol w:w="2539"/>
        <w:gridCol w:w="875"/>
        <w:gridCol w:w="1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blHeader/>
        </w:trPr>
        <w:tc>
          <w:tcPr>
            <w:tcW w:w="429"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序号</w:t>
            </w:r>
          </w:p>
        </w:tc>
        <w:tc>
          <w:tcPr>
            <w:tcW w:w="514"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类型</w:t>
            </w:r>
          </w:p>
        </w:tc>
        <w:tc>
          <w:tcPr>
            <w:tcW w:w="2926" w:type="pct"/>
            <w:gridSpan w:val="2"/>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建设内容</w:t>
            </w:r>
          </w:p>
        </w:tc>
        <w:tc>
          <w:tcPr>
            <w:tcW w:w="514"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数量</w:t>
            </w:r>
          </w:p>
        </w:tc>
        <w:tc>
          <w:tcPr>
            <w:tcW w:w="618"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建设方式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9"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1</w:t>
            </w:r>
          </w:p>
        </w:tc>
        <w:tc>
          <w:tcPr>
            <w:tcW w:w="514"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云资源</w:t>
            </w:r>
          </w:p>
        </w:tc>
        <w:tc>
          <w:tcPr>
            <w:tcW w:w="2926" w:type="pct"/>
            <w:gridSpan w:val="2"/>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云计算、云存储、网络</w:t>
            </w:r>
            <w:r>
              <w:rPr>
                <w:rFonts w:hint="eastAsia" w:ascii="方正仿宋_GBK" w:hAnsi="方正仿宋_GBK"/>
                <w:lang w:eastAsia="zh-CN"/>
              </w:rPr>
              <w:t>、</w:t>
            </w:r>
            <w:r>
              <w:rPr>
                <w:rFonts w:hint="eastAsia" w:ascii="方正仿宋_GBK" w:hAnsi="方正仿宋_GBK"/>
                <w:lang w:val="en-US" w:eastAsia="zh-CN"/>
              </w:rPr>
              <w:t>安全</w:t>
            </w:r>
            <w:r>
              <w:rPr>
                <w:rFonts w:ascii="方正仿宋_GBK" w:hAnsi="方正仿宋_GBK"/>
              </w:rPr>
              <w:t>等</w:t>
            </w:r>
          </w:p>
        </w:tc>
        <w:tc>
          <w:tcPr>
            <w:tcW w:w="514"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1套</w:t>
            </w:r>
          </w:p>
        </w:tc>
        <w:tc>
          <w:tcPr>
            <w:tcW w:w="618"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租用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9"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2</w:t>
            </w:r>
          </w:p>
        </w:tc>
        <w:tc>
          <w:tcPr>
            <w:tcW w:w="514" w:type="pct"/>
            <w:vMerge w:val="restar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软件</w:t>
            </w:r>
          </w:p>
        </w:tc>
        <w:tc>
          <w:tcPr>
            <w:tcW w:w="2926" w:type="pct"/>
            <w:gridSpan w:val="2"/>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数据中台</w:t>
            </w:r>
          </w:p>
        </w:tc>
        <w:tc>
          <w:tcPr>
            <w:tcW w:w="514"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1套</w:t>
            </w:r>
          </w:p>
        </w:tc>
        <w:tc>
          <w:tcPr>
            <w:tcW w:w="618"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9"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3</w:t>
            </w:r>
          </w:p>
        </w:tc>
        <w:tc>
          <w:tcPr>
            <w:tcW w:w="514" w:type="pct"/>
            <w:vMerge w:val="continue"/>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p>
        </w:tc>
        <w:tc>
          <w:tcPr>
            <w:tcW w:w="2926" w:type="pct"/>
            <w:gridSpan w:val="2"/>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基础支持平台</w:t>
            </w:r>
          </w:p>
        </w:tc>
        <w:tc>
          <w:tcPr>
            <w:tcW w:w="514"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1套</w:t>
            </w:r>
          </w:p>
        </w:tc>
        <w:tc>
          <w:tcPr>
            <w:tcW w:w="618"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9"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4</w:t>
            </w:r>
          </w:p>
        </w:tc>
        <w:tc>
          <w:tcPr>
            <w:tcW w:w="514" w:type="pct"/>
            <w:vMerge w:val="continue"/>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p>
        </w:tc>
        <w:tc>
          <w:tcPr>
            <w:tcW w:w="1436" w:type="pct"/>
            <w:vMerge w:val="restar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数智化战略投资</w:t>
            </w:r>
          </w:p>
        </w:tc>
        <w:tc>
          <w:tcPr>
            <w:tcW w:w="1490"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数智化战略管理系统</w:t>
            </w:r>
          </w:p>
        </w:tc>
        <w:tc>
          <w:tcPr>
            <w:tcW w:w="514"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1套</w:t>
            </w:r>
          </w:p>
        </w:tc>
        <w:tc>
          <w:tcPr>
            <w:tcW w:w="618"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9"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5</w:t>
            </w:r>
          </w:p>
        </w:tc>
        <w:tc>
          <w:tcPr>
            <w:tcW w:w="514" w:type="pct"/>
            <w:vMerge w:val="continue"/>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p>
        </w:tc>
        <w:tc>
          <w:tcPr>
            <w:tcW w:w="1436" w:type="pct"/>
            <w:vMerge w:val="continue"/>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p>
        </w:tc>
        <w:tc>
          <w:tcPr>
            <w:tcW w:w="1490"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数智化投资管理系统</w:t>
            </w:r>
          </w:p>
        </w:tc>
        <w:tc>
          <w:tcPr>
            <w:tcW w:w="514"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1套</w:t>
            </w:r>
          </w:p>
        </w:tc>
        <w:tc>
          <w:tcPr>
            <w:tcW w:w="618"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9"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6</w:t>
            </w:r>
          </w:p>
        </w:tc>
        <w:tc>
          <w:tcPr>
            <w:tcW w:w="514" w:type="pct"/>
            <w:vMerge w:val="continue"/>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p>
        </w:tc>
        <w:tc>
          <w:tcPr>
            <w:tcW w:w="1436" w:type="pct"/>
            <w:vMerge w:val="continue"/>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p>
        </w:tc>
        <w:tc>
          <w:tcPr>
            <w:tcW w:w="1490"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领导驾驶舱</w:t>
            </w:r>
          </w:p>
        </w:tc>
        <w:tc>
          <w:tcPr>
            <w:tcW w:w="514"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1套</w:t>
            </w:r>
          </w:p>
        </w:tc>
        <w:tc>
          <w:tcPr>
            <w:tcW w:w="618"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9"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7</w:t>
            </w:r>
          </w:p>
        </w:tc>
        <w:tc>
          <w:tcPr>
            <w:tcW w:w="514" w:type="pct"/>
            <w:vMerge w:val="continue"/>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p>
        </w:tc>
        <w:tc>
          <w:tcPr>
            <w:tcW w:w="1436" w:type="pct"/>
            <w:vMerge w:val="restar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数智化经营管理</w:t>
            </w:r>
          </w:p>
        </w:tc>
        <w:tc>
          <w:tcPr>
            <w:tcW w:w="1490"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智化运营管理系统</w:t>
            </w:r>
          </w:p>
        </w:tc>
        <w:tc>
          <w:tcPr>
            <w:tcW w:w="514"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1套</w:t>
            </w:r>
          </w:p>
        </w:tc>
        <w:tc>
          <w:tcPr>
            <w:tcW w:w="618"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9"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8</w:t>
            </w:r>
          </w:p>
        </w:tc>
        <w:tc>
          <w:tcPr>
            <w:tcW w:w="514" w:type="pct"/>
            <w:vMerge w:val="continue"/>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p>
        </w:tc>
        <w:tc>
          <w:tcPr>
            <w:tcW w:w="1436" w:type="pct"/>
            <w:vMerge w:val="continue"/>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p>
        </w:tc>
        <w:tc>
          <w:tcPr>
            <w:tcW w:w="1490"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数智化资产管理系统</w:t>
            </w:r>
          </w:p>
        </w:tc>
        <w:tc>
          <w:tcPr>
            <w:tcW w:w="514"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1套</w:t>
            </w:r>
          </w:p>
        </w:tc>
        <w:tc>
          <w:tcPr>
            <w:tcW w:w="618"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9"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9</w:t>
            </w:r>
          </w:p>
        </w:tc>
        <w:tc>
          <w:tcPr>
            <w:tcW w:w="514" w:type="pct"/>
            <w:vMerge w:val="continue"/>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p>
        </w:tc>
        <w:tc>
          <w:tcPr>
            <w:tcW w:w="1436" w:type="pct"/>
            <w:vMerge w:val="continue"/>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p>
        </w:tc>
        <w:tc>
          <w:tcPr>
            <w:tcW w:w="1490"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数智化安全环保管理</w:t>
            </w:r>
          </w:p>
        </w:tc>
        <w:tc>
          <w:tcPr>
            <w:tcW w:w="514"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1套</w:t>
            </w:r>
          </w:p>
        </w:tc>
        <w:tc>
          <w:tcPr>
            <w:tcW w:w="618"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9"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10</w:t>
            </w:r>
          </w:p>
        </w:tc>
        <w:tc>
          <w:tcPr>
            <w:tcW w:w="514" w:type="pct"/>
            <w:vMerge w:val="continue"/>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p>
        </w:tc>
        <w:tc>
          <w:tcPr>
            <w:tcW w:w="1436"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数智化创新管理</w:t>
            </w:r>
          </w:p>
        </w:tc>
        <w:tc>
          <w:tcPr>
            <w:tcW w:w="1490"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数智化创新管理系统</w:t>
            </w:r>
          </w:p>
        </w:tc>
        <w:tc>
          <w:tcPr>
            <w:tcW w:w="514"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1套</w:t>
            </w:r>
          </w:p>
        </w:tc>
        <w:tc>
          <w:tcPr>
            <w:tcW w:w="618"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9"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11</w:t>
            </w:r>
          </w:p>
        </w:tc>
        <w:tc>
          <w:tcPr>
            <w:tcW w:w="514" w:type="pct"/>
            <w:vMerge w:val="continue"/>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p>
        </w:tc>
        <w:tc>
          <w:tcPr>
            <w:tcW w:w="1436"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数智化财务管理</w:t>
            </w:r>
          </w:p>
        </w:tc>
        <w:tc>
          <w:tcPr>
            <w:tcW w:w="1490"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数智化财务管理系统</w:t>
            </w:r>
          </w:p>
        </w:tc>
        <w:tc>
          <w:tcPr>
            <w:tcW w:w="514"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1套</w:t>
            </w:r>
          </w:p>
        </w:tc>
        <w:tc>
          <w:tcPr>
            <w:tcW w:w="618"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9"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12</w:t>
            </w:r>
          </w:p>
        </w:tc>
        <w:tc>
          <w:tcPr>
            <w:tcW w:w="514" w:type="pct"/>
            <w:vMerge w:val="continue"/>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p>
        </w:tc>
        <w:tc>
          <w:tcPr>
            <w:tcW w:w="1436"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数智化人力资源管理</w:t>
            </w:r>
          </w:p>
        </w:tc>
        <w:tc>
          <w:tcPr>
            <w:tcW w:w="1490"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数智化人力资源管理系统</w:t>
            </w:r>
          </w:p>
        </w:tc>
        <w:tc>
          <w:tcPr>
            <w:tcW w:w="514"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1套</w:t>
            </w:r>
          </w:p>
        </w:tc>
        <w:tc>
          <w:tcPr>
            <w:tcW w:w="618"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9"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13</w:t>
            </w:r>
          </w:p>
        </w:tc>
        <w:tc>
          <w:tcPr>
            <w:tcW w:w="514" w:type="pct"/>
            <w:vMerge w:val="continue"/>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p>
        </w:tc>
        <w:tc>
          <w:tcPr>
            <w:tcW w:w="1436" w:type="pct"/>
            <w:vMerge w:val="restar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数智化法务与风险管理</w:t>
            </w:r>
          </w:p>
        </w:tc>
        <w:tc>
          <w:tcPr>
            <w:tcW w:w="1490"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数智化法务管理系统</w:t>
            </w:r>
          </w:p>
        </w:tc>
        <w:tc>
          <w:tcPr>
            <w:tcW w:w="514"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1套</w:t>
            </w:r>
          </w:p>
        </w:tc>
        <w:tc>
          <w:tcPr>
            <w:tcW w:w="618"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9"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14</w:t>
            </w:r>
          </w:p>
        </w:tc>
        <w:tc>
          <w:tcPr>
            <w:tcW w:w="514" w:type="pct"/>
            <w:vMerge w:val="continue"/>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p>
        </w:tc>
        <w:tc>
          <w:tcPr>
            <w:tcW w:w="1436" w:type="pct"/>
            <w:vMerge w:val="continue"/>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p>
        </w:tc>
        <w:tc>
          <w:tcPr>
            <w:tcW w:w="1490"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数智化</w:t>
            </w:r>
            <w:r>
              <w:rPr>
                <w:rFonts w:hint="eastAsia" w:ascii="方正仿宋_GBK" w:hAnsi="方正仿宋_GBK"/>
                <w:lang w:val="en-US" w:eastAsia="zh-CN"/>
              </w:rPr>
              <w:t>风险</w:t>
            </w:r>
            <w:r>
              <w:rPr>
                <w:rFonts w:ascii="方正仿宋_GBK" w:hAnsi="方正仿宋_GBK"/>
              </w:rPr>
              <w:t>管理系统</w:t>
            </w:r>
          </w:p>
        </w:tc>
        <w:tc>
          <w:tcPr>
            <w:tcW w:w="514"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1套</w:t>
            </w:r>
          </w:p>
        </w:tc>
        <w:tc>
          <w:tcPr>
            <w:tcW w:w="618"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9"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15</w:t>
            </w:r>
          </w:p>
        </w:tc>
        <w:tc>
          <w:tcPr>
            <w:tcW w:w="514" w:type="pct"/>
            <w:vMerge w:val="continue"/>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p>
        </w:tc>
        <w:tc>
          <w:tcPr>
            <w:tcW w:w="1436"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数智化审计管理</w:t>
            </w:r>
          </w:p>
        </w:tc>
        <w:tc>
          <w:tcPr>
            <w:tcW w:w="1490"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数智化审计管理系统</w:t>
            </w:r>
          </w:p>
        </w:tc>
        <w:tc>
          <w:tcPr>
            <w:tcW w:w="514"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1套</w:t>
            </w:r>
          </w:p>
        </w:tc>
        <w:tc>
          <w:tcPr>
            <w:tcW w:w="618"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9"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16</w:t>
            </w:r>
          </w:p>
        </w:tc>
        <w:tc>
          <w:tcPr>
            <w:tcW w:w="514" w:type="pct"/>
            <w:vMerge w:val="continue"/>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p>
        </w:tc>
        <w:tc>
          <w:tcPr>
            <w:tcW w:w="1436" w:type="pct"/>
            <w:vMerge w:val="restar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数智化协同办公</w:t>
            </w:r>
          </w:p>
        </w:tc>
        <w:tc>
          <w:tcPr>
            <w:tcW w:w="1490"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协同办公系统</w:t>
            </w:r>
          </w:p>
        </w:tc>
        <w:tc>
          <w:tcPr>
            <w:tcW w:w="514"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1套</w:t>
            </w:r>
          </w:p>
        </w:tc>
        <w:tc>
          <w:tcPr>
            <w:tcW w:w="618"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9"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17</w:t>
            </w:r>
          </w:p>
        </w:tc>
        <w:tc>
          <w:tcPr>
            <w:tcW w:w="514" w:type="pct"/>
            <w:vMerge w:val="continue"/>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p>
        </w:tc>
        <w:tc>
          <w:tcPr>
            <w:tcW w:w="1436" w:type="pct"/>
            <w:vMerge w:val="continue"/>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p>
        </w:tc>
        <w:tc>
          <w:tcPr>
            <w:tcW w:w="1490"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视频会议系统</w:t>
            </w:r>
          </w:p>
        </w:tc>
        <w:tc>
          <w:tcPr>
            <w:tcW w:w="514"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1套</w:t>
            </w:r>
          </w:p>
        </w:tc>
        <w:tc>
          <w:tcPr>
            <w:tcW w:w="618"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9"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18</w:t>
            </w:r>
          </w:p>
        </w:tc>
        <w:tc>
          <w:tcPr>
            <w:tcW w:w="514" w:type="pct"/>
            <w:vMerge w:val="restar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硬件</w:t>
            </w:r>
          </w:p>
        </w:tc>
        <w:tc>
          <w:tcPr>
            <w:tcW w:w="2926" w:type="pct"/>
            <w:gridSpan w:val="2"/>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领导办公室中屏设备</w:t>
            </w:r>
          </w:p>
        </w:tc>
        <w:tc>
          <w:tcPr>
            <w:tcW w:w="514"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6套</w:t>
            </w:r>
          </w:p>
        </w:tc>
        <w:tc>
          <w:tcPr>
            <w:tcW w:w="618"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9"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19</w:t>
            </w:r>
          </w:p>
        </w:tc>
        <w:tc>
          <w:tcPr>
            <w:tcW w:w="514" w:type="pct"/>
            <w:vMerge w:val="continue"/>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p>
        </w:tc>
        <w:tc>
          <w:tcPr>
            <w:tcW w:w="2926" w:type="pct"/>
            <w:gridSpan w:val="2"/>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会议室大屏设备</w:t>
            </w:r>
          </w:p>
        </w:tc>
        <w:tc>
          <w:tcPr>
            <w:tcW w:w="514"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2套</w:t>
            </w:r>
          </w:p>
        </w:tc>
        <w:tc>
          <w:tcPr>
            <w:tcW w:w="618"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9"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20</w:t>
            </w:r>
          </w:p>
        </w:tc>
        <w:tc>
          <w:tcPr>
            <w:tcW w:w="514" w:type="pct"/>
            <w:vMerge w:val="restar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安全</w:t>
            </w:r>
          </w:p>
        </w:tc>
        <w:tc>
          <w:tcPr>
            <w:tcW w:w="2926" w:type="pct"/>
            <w:gridSpan w:val="2"/>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主机安全组件、堡垒机组件、数据库审计组件、日志审计组件、Web应用防火墙组件</w:t>
            </w:r>
          </w:p>
        </w:tc>
        <w:tc>
          <w:tcPr>
            <w:tcW w:w="514"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1套</w:t>
            </w:r>
          </w:p>
        </w:tc>
        <w:tc>
          <w:tcPr>
            <w:tcW w:w="618"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9"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ascii="方正仿宋_GBK" w:hAnsi="方正仿宋_GBK"/>
              </w:rPr>
            </w:pPr>
            <w:r>
              <w:rPr>
                <w:rFonts w:ascii="方正仿宋_GBK" w:hAnsi="方正仿宋_GBK"/>
              </w:rPr>
              <w:t>2</w:t>
            </w:r>
            <w:r>
              <w:rPr>
                <w:rFonts w:hint="default" w:ascii="方正仿宋_GBK" w:hAnsi="方正仿宋_GBK"/>
              </w:rPr>
              <w:t>1</w:t>
            </w:r>
          </w:p>
        </w:tc>
        <w:tc>
          <w:tcPr>
            <w:tcW w:w="514" w:type="pct"/>
            <w:vMerge w:val="continue"/>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ascii="方正仿宋_GBK" w:hAnsi="方正仿宋_GBK"/>
              </w:rPr>
            </w:pPr>
          </w:p>
        </w:tc>
        <w:tc>
          <w:tcPr>
            <w:tcW w:w="2926" w:type="pct"/>
            <w:gridSpan w:val="2"/>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ascii="方正仿宋_GBK" w:hAnsi="方正仿宋_GBK"/>
              </w:rPr>
            </w:pPr>
            <w:r>
              <w:rPr>
                <w:rFonts w:ascii="方正仿宋_GBK" w:hAnsi="方正仿宋_GBK"/>
                <w:color w:val="000000" w:themeColor="text1"/>
                <w14:textFill>
                  <w14:solidFill>
                    <w14:schemeClr w14:val="tx1"/>
                  </w14:solidFill>
                </w14:textFill>
              </w:rPr>
              <w:t>办公电脑安全：防毒软件、终端安全管控</w:t>
            </w:r>
          </w:p>
        </w:tc>
        <w:tc>
          <w:tcPr>
            <w:tcW w:w="514"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ascii="方正仿宋_GBK" w:hAnsi="方正仿宋_GBK"/>
              </w:rPr>
            </w:pPr>
            <w:r>
              <w:rPr>
                <w:rFonts w:ascii="方正仿宋_GBK" w:hAnsi="方正仿宋_GBK"/>
              </w:rPr>
              <w:t>6</w:t>
            </w:r>
            <w:r>
              <w:rPr>
                <w:rFonts w:hint="default" w:ascii="方正仿宋_GBK" w:hAnsi="方正仿宋_GBK"/>
              </w:rPr>
              <w:t>0</w:t>
            </w:r>
            <w:r>
              <w:rPr>
                <w:rFonts w:ascii="方正仿宋_GBK" w:hAnsi="方正仿宋_GBK"/>
              </w:rPr>
              <w:t>套</w:t>
            </w:r>
          </w:p>
        </w:tc>
        <w:tc>
          <w:tcPr>
            <w:tcW w:w="618"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ascii="方正仿宋_GBK" w:hAnsi="方正仿宋_GBK"/>
              </w:rPr>
            </w:pPr>
            <w:r>
              <w:rPr>
                <w:rFonts w:ascii="方正仿宋_GBK" w:hAnsi="方正仿宋_GBK"/>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9"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2</w:t>
            </w:r>
            <w:r>
              <w:rPr>
                <w:rFonts w:hint="default" w:ascii="方正仿宋_GBK" w:hAnsi="方正仿宋_GBK"/>
              </w:rPr>
              <w:t>2</w:t>
            </w:r>
          </w:p>
        </w:tc>
        <w:tc>
          <w:tcPr>
            <w:tcW w:w="514"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其它</w:t>
            </w:r>
          </w:p>
        </w:tc>
        <w:tc>
          <w:tcPr>
            <w:tcW w:w="2926" w:type="pct"/>
            <w:gridSpan w:val="2"/>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标准规范（数据交换标准、应用系统标准、信息安全标准、流程梳理）</w:t>
            </w:r>
          </w:p>
        </w:tc>
        <w:tc>
          <w:tcPr>
            <w:tcW w:w="514"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1项</w:t>
            </w:r>
          </w:p>
        </w:tc>
        <w:tc>
          <w:tcPr>
            <w:tcW w:w="618" w:type="pct"/>
            <w:shd w:val="clear" w:color="auto" w:fill="auto"/>
            <w:noWrap/>
            <w:vAlign w:val="center"/>
          </w:tcPr>
          <w:p>
            <w:pPr>
              <w:pStyle w:val="13"/>
              <w:kinsoku/>
              <w:wordWrap/>
              <w:topLinePunct w:val="0"/>
              <w:autoSpaceDE/>
              <w:autoSpaceDN/>
              <w:bidi w:val="0"/>
              <w:adjustRightInd w:val="0"/>
              <w:spacing w:line="560" w:lineRule="exact"/>
              <w:ind w:left="0" w:leftChars="0" w:right="0" w:rightChars="0"/>
              <w:rPr>
                <w:rFonts w:hint="default" w:ascii="方正仿宋_GBK" w:hAnsi="方正仿宋_GBK"/>
              </w:rPr>
            </w:pPr>
            <w:r>
              <w:rPr>
                <w:rFonts w:ascii="方正仿宋_GBK" w:hAnsi="方正仿宋_GBK"/>
              </w:rPr>
              <w:t>新建</w:t>
            </w:r>
          </w:p>
        </w:tc>
      </w:tr>
    </w:tbl>
    <w:p>
      <w:pPr>
        <w:kinsoku/>
        <w:wordWrap/>
        <w:topLinePunct w:val="0"/>
        <w:autoSpaceDE/>
        <w:autoSpaceDN/>
        <w:bidi w:val="0"/>
        <w:spacing w:line="560" w:lineRule="exact"/>
        <w:ind w:firstLine="604"/>
        <w:rPr>
          <w:rFonts w:ascii="方正仿宋_GBK" w:hAnsi="方正仿宋_GBK"/>
        </w:rPr>
      </w:pPr>
    </w:p>
    <w:p>
      <w:pPr>
        <w:pStyle w:val="6"/>
        <w:kinsoku/>
        <w:wordWrap/>
        <w:topLinePunct w:val="0"/>
        <w:autoSpaceDE/>
        <w:autoSpaceDN/>
        <w:bidi w:val="0"/>
        <w:spacing w:before="198" w:after="198" w:line="560" w:lineRule="exact"/>
      </w:pPr>
      <w:bookmarkStart w:id="41" w:name="_Toc13783"/>
      <w:bookmarkStart w:id="42" w:name="_Toc25075"/>
      <w:bookmarkStart w:id="43" w:name="_Toc30035"/>
      <w:bookmarkStart w:id="44" w:name="_Toc21885"/>
      <w:bookmarkStart w:id="45" w:name="_Toc30481"/>
      <w:bookmarkStart w:id="46" w:name="_Toc22201085"/>
      <w:bookmarkStart w:id="47" w:name="_Toc18780"/>
      <w:r>
        <w:rPr>
          <w:rFonts w:hint="eastAsia"/>
        </w:rPr>
        <w:t>建设期</w:t>
      </w:r>
      <w:bookmarkEnd w:id="41"/>
      <w:bookmarkEnd w:id="42"/>
      <w:bookmarkEnd w:id="43"/>
      <w:bookmarkEnd w:id="44"/>
      <w:bookmarkEnd w:id="45"/>
      <w:bookmarkEnd w:id="46"/>
      <w:bookmarkEnd w:id="47"/>
    </w:p>
    <w:p>
      <w:pPr>
        <w:pStyle w:val="2"/>
        <w:kinsoku/>
        <w:wordWrap/>
        <w:topLinePunct w:val="0"/>
        <w:autoSpaceDE/>
        <w:autoSpaceDN/>
        <w:bidi w:val="0"/>
        <w:spacing w:line="560" w:lineRule="exact"/>
        <w:ind w:firstLine="604"/>
        <w:rPr>
          <w:rFonts w:ascii="方正仿宋_GBK" w:hAnsi="方正仿宋_GBK"/>
        </w:rPr>
      </w:pPr>
      <w:bookmarkStart w:id="48" w:name="_Toc12463"/>
      <w:bookmarkStart w:id="49" w:name="_Toc1103"/>
      <w:bookmarkStart w:id="50" w:name="_Toc22209"/>
      <w:bookmarkStart w:id="51" w:name="_Toc20591"/>
      <w:r>
        <w:rPr>
          <w:rFonts w:hint="eastAsia" w:ascii="方正仿宋_GBK" w:hAnsi="方正仿宋_GBK"/>
        </w:rPr>
        <w:t>综合考虑本次项目的实际建设情况、业务需求、项目管理能力和项目风险控制等各种因素，本次项目建设期为2021年9月-2022年</w:t>
      </w:r>
      <w:r>
        <w:rPr>
          <w:rFonts w:hint="eastAsia" w:ascii="方正仿宋_GBK" w:hAnsi="方正仿宋_GBK"/>
          <w:lang w:val="en-US" w:eastAsia="zh-CN"/>
        </w:rPr>
        <w:t>12</w:t>
      </w:r>
      <w:r>
        <w:rPr>
          <w:rFonts w:hint="eastAsia" w:ascii="方正仿宋_GBK" w:hAnsi="方正仿宋_GBK"/>
        </w:rPr>
        <w:t>月，共</w:t>
      </w:r>
      <w:r>
        <w:rPr>
          <w:rFonts w:hint="eastAsia" w:ascii="方正仿宋_GBK" w:hAnsi="方正仿宋_GBK"/>
          <w:lang w:val="en-US" w:eastAsia="zh-CN"/>
        </w:rPr>
        <w:t>15</w:t>
      </w:r>
      <w:r>
        <w:rPr>
          <w:rFonts w:hint="eastAsia" w:ascii="方正仿宋_GBK" w:hAnsi="方正仿宋_GBK"/>
        </w:rPr>
        <w:t>个月。</w:t>
      </w:r>
    </w:p>
    <w:p>
      <w:pPr>
        <w:pStyle w:val="5"/>
        <w:kinsoku/>
        <w:wordWrap/>
        <w:topLinePunct w:val="0"/>
        <w:autoSpaceDE/>
        <w:autoSpaceDN/>
        <w:bidi w:val="0"/>
        <w:spacing w:before="198" w:after="198" w:line="560" w:lineRule="exact"/>
        <w:rPr>
          <w:rFonts w:hint="default"/>
        </w:rPr>
      </w:pPr>
      <w:bookmarkStart w:id="52" w:name="_Toc21569"/>
      <w:bookmarkStart w:id="53" w:name="_Toc5273"/>
      <w:bookmarkStart w:id="54" w:name="_Toc24157"/>
      <w:r>
        <w:t>总投资及资金来源</w:t>
      </w:r>
      <w:bookmarkEnd w:id="48"/>
      <w:bookmarkEnd w:id="49"/>
      <w:bookmarkEnd w:id="50"/>
      <w:bookmarkEnd w:id="51"/>
      <w:bookmarkEnd w:id="52"/>
      <w:bookmarkEnd w:id="53"/>
      <w:bookmarkEnd w:id="54"/>
    </w:p>
    <w:p>
      <w:pPr>
        <w:pStyle w:val="2"/>
        <w:kinsoku/>
        <w:wordWrap/>
        <w:topLinePunct w:val="0"/>
        <w:autoSpaceDE/>
        <w:autoSpaceDN/>
        <w:bidi w:val="0"/>
        <w:spacing w:line="560" w:lineRule="exact"/>
        <w:ind w:firstLine="604"/>
        <w:rPr>
          <w:rFonts w:ascii="方正仿宋_GBK" w:hAnsi="方正仿宋_GBK"/>
          <w:lang w:eastAsia="zh-Hans"/>
        </w:rPr>
      </w:pPr>
      <w:r>
        <w:rPr>
          <w:rFonts w:hint="eastAsia" w:ascii="方正仿宋_GBK" w:hAnsi="方正仿宋_GBK"/>
        </w:rPr>
        <w:t>本项目建设总投资</w:t>
      </w:r>
      <w:r>
        <w:rPr>
          <w:rFonts w:hint="eastAsia" w:ascii="方正仿宋_GBK" w:hAnsi="方正仿宋_GBK"/>
          <w:lang w:val="en-US" w:eastAsia="zh-CN"/>
        </w:rPr>
        <w:t>1695.23</w:t>
      </w:r>
      <w:r>
        <w:rPr>
          <w:rFonts w:hint="eastAsia" w:ascii="方正仿宋_GBK" w:hAnsi="方正仿宋_GBK"/>
        </w:rPr>
        <w:t>万元，包括工程费</w:t>
      </w:r>
      <w:r>
        <w:rPr>
          <w:rFonts w:hint="eastAsia" w:ascii="方正仿宋_GBK" w:hAnsi="方正仿宋_GBK"/>
          <w:lang w:eastAsia="zh-CN"/>
        </w:rPr>
        <w:t>1442.37</w:t>
      </w:r>
      <w:r>
        <w:rPr>
          <w:rFonts w:hint="eastAsia" w:ascii="方正仿宋_GBK" w:hAnsi="方正仿宋_GBK"/>
        </w:rPr>
        <w:t>万元、工程建设其他费</w:t>
      </w:r>
      <w:r>
        <w:rPr>
          <w:rFonts w:hint="eastAsia" w:ascii="方正仿宋_GBK" w:hAnsi="方正仿宋_GBK"/>
          <w:lang w:val="en-US" w:eastAsia="zh-CN"/>
        </w:rPr>
        <w:t>187.65</w:t>
      </w:r>
      <w:r>
        <w:rPr>
          <w:rFonts w:hint="eastAsia" w:ascii="方正仿宋_GBK" w:hAnsi="方正仿宋_GBK"/>
        </w:rPr>
        <w:t>万元和预备费</w:t>
      </w:r>
      <w:r>
        <w:rPr>
          <w:rFonts w:hint="eastAsia" w:ascii="方正仿宋_GBK" w:hAnsi="方正仿宋_GBK"/>
          <w:lang w:eastAsia="zh-CN"/>
        </w:rPr>
        <w:t>65.20</w:t>
      </w:r>
      <w:r>
        <w:rPr>
          <w:rFonts w:hint="eastAsia" w:ascii="方正仿宋_GBK" w:hAnsi="方正仿宋_GBK"/>
        </w:rPr>
        <w:t>万元。资金来源为建设单位自筹</w:t>
      </w:r>
      <w:r>
        <w:rPr>
          <w:rFonts w:hint="eastAsia" w:ascii="方正仿宋_GBK" w:hAnsi="方正仿宋_GBK"/>
          <w:lang w:eastAsia="zh-Hans"/>
        </w:rPr>
        <w:t>。</w:t>
      </w:r>
    </w:p>
    <w:p>
      <w:pPr>
        <w:pStyle w:val="4"/>
        <w:numPr>
          <w:ilvl w:val="0"/>
          <w:numId w:val="0"/>
        </w:numPr>
        <w:kinsoku/>
        <w:wordWrap/>
        <w:topLinePunct w:val="0"/>
        <w:autoSpaceDE/>
        <w:autoSpaceDN/>
        <w:bidi w:val="0"/>
        <w:spacing w:before="198" w:after="198" w:line="560" w:lineRule="exact"/>
        <w:ind w:leftChars="0"/>
        <w:rPr>
          <w:b/>
          <w:bCs/>
        </w:rPr>
      </w:pPr>
      <w:bookmarkStart w:id="55" w:name="_Toc4136"/>
      <w:bookmarkStart w:id="56" w:name="_Toc12991"/>
      <w:bookmarkStart w:id="57" w:name="_Toc7614"/>
      <w:r>
        <w:rPr>
          <w:rFonts w:hint="eastAsia"/>
          <w:b/>
          <w:bCs/>
          <w:lang w:eastAsia="zh-CN"/>
        </w:rPr>
        <w:t>二、</w:t>
      </w:r>
      <w:r>
        <w:rPr>
          <w:rFonts w:hint="eastAsia"/>
          <w:b/>
          <w:bCs/>
        </w:rPr>
        <w:t>总体设计方案</w:t>
      </w:r>
      <w:bookmarkEnd w:id="55"/>
      <w:bookmarkEnd w:id="56"/>
      <w:bookmarkEnd w:id="57"/>
    </w:p>
    <w:p>
      <w:pPr>
        <w:pStyle w:val="5"/>
        <w:kinsoku/>
        <w:wordWrap/>
        <w:topLinePunct w:val="0"/>
        <w:autoSpaceDE/>
        <w:autoSpaceDN/>
        <w:bidi w:val="0"/>
        <w:spacing w:before="198" w:after="198" w:line="560" w:lineRule="exact"/>
        <w:rPr>
          <w:rFonts w:hint="default"/>
        </w:rPr>
      </w:pPr>
      <w:bookmarkStart w:id="58" w:name="_Toc26435"/>
      <w:bookmarkStart w:id="59" w:name="_Toc25170"/>
      <w:bookmarkStart w:id="60" w:name="_Toc32072"/>
      <w:bookmarkStart w:id="61" w:name="_Toc4658"/>
      <w:bookmarkStart w:id="62" w:name="_Toc3798"/>
      <w:bookmarkStart w:id="63" w:name="_Toc9753"/>
      <w:bookmarkStart w:id="64" w:name="_Toc11117"/>
      <w:r>
        <w:t>设计原则</w:t>
      </w:r>
      <w:bookmarkEnd w:id="58"/>
      <w:bookmarkEnd w:id="59"/>
      <w:bookmarkEnd w:id="60"/>
      <w:bookmarkEnd w:id="61"/>
      <w:bookmarkEnd w:id="62"/>
      <w:bookmarkEnd w:id="63"/>
      <w:bookmarkEnd w:id="64"/>
    </w:p>
    <w:p>
      <w:pPr>
        <w:pStyle w:val="2"/>
        <w:numPr>
          <w:ilvl w:val="0"/>
          <w:numId w:val="3"/>
        </w:numPr>
        <w:kinsoku/>
        <w:wordWrap/>
        <w:topLinePunct w:val="0"/>
        <w:autoSpaceDE/>
        <w:autoSpaceDN/>
        <w:bidi w:val="0"/>
        <w:spacing w:line="560" w:lineRule="exact"/>
        <w:ind w:left="0" w:firstLine="604"/>
        <w:jc w:val="both"/>
      </w:pPr>
      <w:r>
        <w:rPr>
          <w:rFonts w:hint="eastAsia"/>
        </w:rPr>
        <w:t>先进性与成熟性</w:t>
      </w:r>
    </w:p>
    <w:p>
      <w:pPr>
        <w:pStyle w:val="2"/>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项目设计建设具备先进性、前瞻性、扩充性，建设理念、模式必须符合数字化发展趋势，采用技术必须是业内先进、成熟的主流技术，同时要考虑一定时期内需求的增长和变化。</w:t>
      </w:r>
    </w:p>
    <w:p>
      <w:pPr>
        <w:pStyle w:val="2"/>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在充分考虑技术上先进性的同时，尽量采用成熟的技术和软硬件产品，保证项目具有良好的稳定性、可扩展性和安全性，确保用户有良好的使用体验。平台具备零代码功能组装能力，可根据用户业务需求及未来的业务发展进行业务优化、重组。</w:t>
      </w:r>
    </w:p>
    <w:p>
      <w:pPr>
        <w:pStyle w:val="2"/>
        <w:numPr>
          <w:ilvl w:val="0"/>
          <w:numId w:val="3"/>
        </w:numPr>
        <w:kinsoku/>
        <w:wordWrap/>
        <w:topLinePunct w:val="0"/>
        <w:autoSpaceDE/>
        <w:autoSpaceDN/>
        <w:bidi w:val="0"/>
        <w:spacing w:line="560" w:lineRule="exact"/>
        <w:ind w:left="0" w:firstLine="604"/>
        <w:jc w:val="both"/>
        <w:rPr>
          <w:rFonts w:ascii="方正仿宋_GBK" w:hAnsi="方正仿宋_GBK"/>
          <w:kern w:val="2"/>
        </w:rPr>
      </w:pPr>
      <w:r>
        <w:rPr>
          <w:rFonts w:hint="eastAsia" w:ascii="方正仿宋_GBK" w:hAnsi="方正仿宋_GBK"/>
          <w:kern w:val="2"/>
        </w:rPr>
        <w:t>安全性与可靠性</w:t>
      </w:r>
    </w:p>
    <w:p>
      <w:pPr>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项目要具有高可靠性及强大的容错能力，</w:t>
      </w:r>
      <w:r>
        <w:rPr>
          <w:rFonts w:hint="eastAsia" w:ascii="方正仿宋_GBK" w:hAnsi="方正仿宋_GBK"/>
          <w:lang w:val="en-US" w:eastAsia="zh-CN"/>
        </w:rPr>
        <w:t>系统</w:t>
      </w:r>
      <w:r>
        <w:rPr>
          <w:rFonts w:hint="eastAsia" w:ascii="方正仿宋_GBK" w:hAnsi="方正仿宋_GBK"/>
        </w:rPr>
        <w:t>必须保证7*24全天候不间断地工作，核心设备具有全容错结构、热插拔功能，可带电修复有关故障而不影响整个系统的工作；设计应保持一定数量的冗余以保证整体系统的高可靠性和高可用性。即便是在系统建设初期也要着重考虑系统可用性、可靠性问题，防止出现系统停顿等问题造成信息系统的中断服务。</w:t>
      </w:r>
    </w:p>
    <w:p>
      <w:pPr>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项目以安全开展业务应用为目标，严格按照国家关于信息安全的规定和要求，坚持安全防护与业务紧耦合，坚持核心关键技术自主可控，坚持安全工程的集约化管理和工程过程的规范化管理。平台建设运用先进可靠的信息安全技术，建立安全可靠的信息安全保障体系，选用通过国家安全机构认证的安全产品，提高故障监测预警技术水平，增强运维智能化和快速处置能力，确保系统和数据的安全。</w:t>
      </w:r>
    </w:p>
    <w:p>
      <w:pPr>
        <w:pStyle w:val="2"/>
        <w:numPr>
          <w:ilvl w:val="0"/>
          <w:numId w:val="3"/>
        </w:numPr>
        <w:kinsoku/>
        <w:wordWrap/>
        <w:topLinePunct w:val="0"/>
        <w:autoSpaceDE/>
        <w:autoSpaceDN/>
        <w:bidi w:val="0"/>
        <w:spacing w:line="560" w:lineRule="exact"/>
        <w:ind w:left="0" w:firstLine="604"/>
        <w:jc w:val="both"/>
        <w:rPr>
          <w:rFonts w:ascii="方正仿宋_GBK" w:hAnsi="方正仿宋_GBK"/>
          <w:kern w:val="2"/>
        </w:rPr>
      </w:pPr>
      <w:r>
        <w:rPr>
          <w:rFonts w:hint="eastAsia" w:ascii="方正仿宋_GBK" w:hAnsi="方正仿宋_GBK"/>
          <w:kern w:val="2"/>
        </w:rPr>
        <w:t>开放性与</w:t>
      </w:r>
      <w:r>
        <w:rPr>
          <w:rFonts w:hint="eastAsia"/>
        </w:rPr>
        <w:t>共享性</w:t>
      </w:r>
    </w:p>
    <w:p>
      <w:pPr>
        <w:pStyle w:val="2"/>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本项目采用开放化、标准化的设计原则，随着重庆市农业投资集团数字化转型工作的开展，后期可通过扩容的方式实现平台的能力的扩展，同时对于未来新的功能、新的系统、新的数据库、新的用户等，都要留有接口和二次开发API，保证应用系统可扩展，对于已有软件平台，可在不影响现有业务开展的情况下通过升级迭代满足业务发展需求。</w:t>
      </w:r>
    </w:p>
    <w:p>
      <w:pPr>
        <w:pStyle w:val="2"/>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平台遵循共享开放要求，既实现内部的信息共享，又实现与外部业务系统的互联互通，推动国有资产数据的开放共享。</w:t>
      </w:r>
    </w:p>
    <w:p>
      <w:pPr>
        <w:pStyle w:val="2"/>
        <w:numPr>
          <w:ilvl w:val="0"/>
          <w:numId w:val="3"/>
        </w:numPr>
        <w:kinsoku/>
        <w:wordWrap/>
        <w:topLinePunct w:val="0"/>
        <w:autoSpaceDE/>
        <w:autoSpaceDN/>
        <w:bidi w:val="0"/>
        <w:spacing w:line="560" w:lineRule="exact"/>
        <w:ind w:left="0" w:firstLine="604"/>
        <w:jc w:val="both"/>
        <w:rPr>
          <w:rFonts w:ascii="方正仿宋_GBK" w:hAnsi="方正仿宋_GBK"/>
          <w:kern w:val="2"/>
        </w:rPr>
      </w:pPr>
      <w:r>
        <w:rPr>
          <w:rFonts w:hint="eastAsia" w:ascii="方正仿宋_GBK" w:hAnsi="方正仿宋_GBK"/>
          <w:kern w:val="2"/>
        </w:rPr>
        <w:t>经济性与实用性</w:t>
      </w:r>
    </w:p>
    <w:p>
      <w:pPr>
        <w:pStyle w:val="2"/>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本项目需要保证建设系统的可持续发展，平台建设尽可能地利用已有设备、软件及信息资源，避免重复建设，力求减少浪费。</w:t>
      </w:r>
    </w:p>
    <w:p>
      <w:pPr>
        <w:pStyle w:val="2"/>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系统设计应突出实用，功能应紧密结合业务需求，流程节点设置合理，人机界面友好，充分考虑用户使用习惯，界面简洁、排版有序、操作方便、流程合理、图表美观、报表灵活。</w:t>
      </w:r>
    </w:p>
    <w:p>
      <w:pPr>
        <w:pStyle w:val="2"/>
        <w:numPr>
          <w:ilvl w:val="0"/>
          <w:numId w:val="3"/>
        </w:numPr>
        <w:kinsoku/>
        <w:wordWrap/>
        <w:topLinePunct w:val="0"/>
        <w:autoSpaceDE/>
        <w:autoSpaceDN/>
        <w:bidi w:val="0"/>
        <w:spacing w:line="560" w:lineRule="exact"/>
        <w:ind w:left="0" w:firstLine="604"/>
        <w:jc w:val="both"/>
        <w:rPr>
          <w:rFonts w:ascii="方正仿宋_GBK" w:hAnsi="方正仿宋_GBK"/>
        </w:rPr>
      </w:pPr>
      <w:r>
        <w:rPr>
          <w:rFonts w:hint="eastAsia" w:ascii="方正仿宋_GBK" w:hAnsi="方正仿宋_GBK"/>
        </w:rPr>
        <w:t>国产化原则</w:t>
      </w:r>
    </w:p>
    <w:p>
      <w:pPr>
        <w:pStyle w:val="2"/>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产品选用方面，在满足业务需求以及技术可行的前提下，尽量选择国产化的软硬件。</w:t>
      </w:r>
    </w:p>
    <w:p>
      <w:pPr>
        <w:pStyle w:val="5"/>
        <w:kinsoku/>
        <w:wordWrap/>
        <w:topLinePunct w:val="0"/>
        <w:autoSpaceDE/>
        <w:autoSpaceDN/>
        <w:bidi w:val="0"/>
        <w:spacing w:before="198" w:after="198" w:line="560" w:lineRule="exact"/>
        <w:rPr>
          <w:rFonts w:hint="default"/>
        </w:rPr>
      </w:pPr>
      <w:bookmarkStart w:id="65" w:name="_Toc10405"/>
      <w:bookmarkStart w:id="66" w:name="_Toc8586"/>
      <w:bookmarkStart w:id="67" w:name="_Toc1023"/>
      <w:bookmarkStart w:id="68" w:name="_Toc18568"/>
      <w:bookmarkStart w:id="69" w:name="_Toc25588"/>
      <w:bookmarkStart w:id="70" w:name="_Toc20393"/>
      <w:bookmarkStart w:id="71" w:name="_Toc4789"/>
      <w:r>
        <w:t>建设目标</w:t>
      </w:r>
      <w:bookmarkEnd w:id="65"/>
      <w:bookmarkEnd w:id="66"/>
      <w:bookmarkEnd w:id="67"/>
      <w:bookmarkEnd w:id="68"/>
      <w:bookmarkEnd w:id="69"/>
      <w:bookmarkEnd w:id="70"/>
      <w:bookmarkEnd w:id="71"/>
    </w:p>
    <w:p>
      <w:pPr>
        <w:kinsoku/>
        <w:wordWrap/>
        <w:topLinePunct w:val="0"/>
        <w:autoSpaceDE/>
        <w:autoSpaceDN/>
        <w:bidi w:val="0"/>
        <w:spacing w:line="560" w:lineRule="exact"/>
        <w:ind w:left="604" w:leftChars="200" w:firstLine="0" w:firstLineChars="0"/>
        <w:jc w:val="both"/>
        <w:rPr>
          <w:rFonts w:ascii="方正仿宋_GBK" w:hAnsi="方正仿宋_GBK"/>
        </w:rPr>
      </w:pPr>
      <w:r>
        <w:rPr>
          <w:rFonts w:hint="eastAsia" w:ascii="方正仿宋_GBK" w:hAnsi="方正仿宋_GBK"/>
        </w:rPr>
        <w:t>1.加强战略管理，提升集团核心竞争力</w:t>
      </w:r>
    </w:p>
    <w:p>
      <w:pPr>
        <w:pStyle w:val="2"/>
        <w:kinsoku/>
        <w:wordWrap/>
        <w:topLinePunct w:val="0"/>
        <w:autoSpaceDE/>
        <w:autoSpaceDN/>
        <w:bidi w:val="0"/>
        <w:spacing w:line="560" w:lineRule="exact"/>
        <w:ind w:firstLine="604"/>
        <w:jc w:val="both"/>
        <w:rPr>
          <w:rFonts w:ascii="方正仿宋_GBK" w:hAnsi="方正仿宋_GBK"/>
          <w:lang w:eastAsia="zh-Hans"/>
        </w:rPr>
      </w:pPr>
      <w:r>
        <w:rPr>
          <w:rFonts w:hint="eastAsia" w:ascii="方正仿宋_GBK" w:hAnsi="方正仿宋_GBK"/>
        </w:rPr>
        <w:t>以集团新时期战略体系为指引，通过建设数智化战略管控系统、投资管理、经营管理，财务管理、资产管理、风险管理、人力资源管理等，</w:t>
      </w:r>
      <w:r>
        <w:rPr>
          <w:rFonts w:hint="eastAsia" w:ascii="方正仿宋_GBK" w:hAnsi="方正仿宋_GBK"/>
          <w:lang w:eastAsia="zh-Hans"/>
        </w:rPr>
        <w:t>推动集团</w:t>
      </w:r>
      <w:r>
        <w:rPr>
          <w:rFonts w:hint="eastAsia" w:ascii="方正仿宋_GBK" w:hAnsi="方正仿宋_GBK"/>
        </w:rPr>
        <w:t>公司</w:t>
      </w:r>
      <w:r>
        <w:rPr>
          <w:rFonts w:hint="eastAsia" w:ascii="方正仿宋_GBK" w:hAnsi="方正仿宋_GBK"/>
          <w:lang w:eastAsia="zh-Hans"/>
        </w:rPr>
        <w:t>实现数字管控，促进集团战略体系</w:t>
      </w:r>
      <w:r>
        <w:rPr>
          <w:rFonts w:hint="eastAsia" w:ascii="方正仿宋_GBK" w:hAnsi="方正仿宋_GBK"/>
        </w:rPr>
        <w:t>有效</w:t>
      </w:r>
      <w:r>
        <w:rPr>
          <w:rFonts w:hint="eastAsia" w:ascii="方正仿宋_GBK" w:hAnsi="方正仿宋_GBK"/>
          <w:lang w:eastAsia="zh-Hans"/>
        </w:rPr>
        <w:t>落地</w:t>
      </w:r>
      <w:r>
        <w:rPr>
          <w:rFonts w:hint="eastAsia" w:ascii="方正仿宋_GBK" w:hAnsi="方正仿宋_GBK"/>
        </w:rPr>
        <w:t>，提升集团核心竞争力，为把集团打造成为具有较强竞争力的全国一流大型农食品产融集团提</w:t>
      </w:r>
      <w:r>
        <w:rPr>
          <w:rFonts w:hint="eastAsia" w:ascii="方正仿宋_GBK" w:hAnsi="方正仿宋_GBK"/>
          <w:lang w:eastAsia="zh-Hans"/>
        </w:rPr>
        <w:t>供</w:t>
      </w:r>
      <w:r>
        <w:rPr>
          <w:rFonts w:hint="eastAsia" w:ascii="方正仿宋_GBK" w:hAnsi="方正仿宋_GBK"/>
        </w:rPr>
        <w:t>数智化</w:t>
      </w:r>
      <w:r>
        <w:rPr>
          <w:rFonts w:hint="eastAsia" w:ascii="方正仿宋_GBK" w:hAnsi="方正仿宋_GBK"/>
          <w:lang w:eastAsia="zh-Hans"/>
        </w:rPr>
        <w:t>保障。</w:t>
      </w:r>
    </w:p>
    <w:p>
      <w:pPr>
        <w:kinsoku/>
        <w:wordWrap/>
        <w:topLinePunct w:val="0"/>
        <w:autoSpaceDE/>
        <w:autoSpaceDN/>
        <w:bidi w:val="0"/>
        <w:spacing w:line="560" w:lineRule="exact"/>
        <w:ind w:left="604" w:leftChars="200" w:firstLine="0" w:firstLineChars="0"/>
        <w:jc w:val="both"/>
        <w:rPr>
          <w:rFonts w:ascii="方正仿宋_GBK" w:hAnsi="方正仿宋_GBK"/>
          <w:lang w:eastAsia="zh-Hans"/>
        </w:rPr>
      </w:pPr>
      <w:r>
        <w:rPr>
          <w:rFonts w:hint="eastAsia" w:ascii="方正仿宋_GBK" w:hAnsi="方正仿宋_GBK"/>
        </w:rPr>
        <w:t>2.</w:t>
      </w:r>
      <w:r>
        <w:rPr>
          <w:rFonts w:hint="eastAsia" w:ascii="方正仿宋_GBK" w:hAnsi="方正仿宋_GBK"/>
          <w:lang w:eastAsia="zh-Hans"/>
        </w:rPr>
        <w:t>精细运营管理，提升集团管控效率</w:t>
      </w:r>
    </w:p>
    <w:p>
      <w:pPr>
        <w:pStyle w:val="2"/>
        <w:kinsoku/>
        <w:wordWrap/>
        <w:topLinePunct w:val="0"/>
        <w:autoSpaceDE/>
        <w:autoSpaceDN/>
        <w:bidi w:val="0"/>
        <w:spacing w:line="560" w:lineRule="exact"/>
        <w:ind w:firstLine="604"/>
        <w:jc w:val="both"/>
        <w:rPr>
          <w:rFonts w:ascii="方正仿宋_GBK" w:hAnsi="方正仿宋_GBK"/>
          <w:lang w:eastAsia="zh-Hans"/>
        </w:rPr>
      </w:pPr>
      <w:r>
        <w:rPr>
          <w:rFonts w:hint="eastAsia" w:ascii="方正仿宋_GBK" w:hAnsi="方正仿宋_GBK"/>
          <w:lang w:eastAsia="zh-Hans"/>
        </w:rPr>
        <w:t>围绕集团管理目标，实现相关部门信息互联互通、业务协同联动，全面增强集团企业的实时监控和动态管理能力，形成智能决策、精准治理、多方协作的管理新模式，</w:t>
      </w:r>
      <w:r>
        <w:rPr>
          <w:rFonts w:hint="eastAsia" w:ascii="方正仿宋_GBK" w:hAnsi="方正仿宋_GBK"/>
        </w:rPr>
        <w:t>使</w:t>
      </w:r>
      <w:r>
        <w:rPr>
          <w:rFonts w:hint="eastAsia" w:ascii="方正仿宋_GBK" w:hAnsi="方正仿宋_GBK"/>
          <w:lang w:eastAsia="zh-Hans"/>
        </w:rPr>
        <w:t>集团运营管理效能显著增强，进一步提升集团精细化管理水平和辅助决策效率。</w:t>
      </w:r>
    </w:p>
    <w:p>
      <w:pPr>
        <w:kinsoku/>
        <w:wordWrap/>
        <w:topLinePunct w:val="0"/>
        <w:autoSpaceDE/>
        <w:autoSpaceDN/>
        <w:bidi w:val="0"/>
        <w:spacing w:line="560" w:lineRule="exact"/>
        <w:ind w:left="604" w:leftChars="200" w:firstLine="0" w:firstLineChars="0"/>
        <w:jc w:val="both"/>
        <w:rPr>
          <w:rFonts w:ascii="方正仿宋_GBK" w:hAnsi="方正仿宋_GBK"/>
          <w:lang w:eastAsia="zh-Hans"/>
        </w:rPr>
      </w:pPr>
      <w:r>
        <w:rPr>
          <w:rFonts w:hint="eastAsia" w:ascii="方正仿宋_GBK" w:hAnsi="方正仿宋_GBK"/>
        </w:rPr>
        <w:t>3.</w:t>
      </w:r>
      <w:r>
        <w:rPr>
          <w:rFonts w:hint="eastAsia" w:ascii="方正仿宋_GBK" w:hAnsi="方正仿宋_GBK"/>
          <w:lang w:eastAsia="zh-Hans"/>
        </w:rPr>
        <w:t>完善风险控制，降低集团运行风险</w:t>
      </w:r>
    </w:p>
    <w:p>
      <w:pPr>
        <w:pStyle w:val="2"/>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lang w:eastAsia="zh-Hans"/>
        </w:rPr>
        <w:t>完善风险管控机制，加快自动预警与</w:t>
      </w:r>
      <w:r>
        <w:rPr>
          <w:rFonts w:hint="eastAsia" w:ascii="方正仿宋_GBK" w:hAnsi="方正仿宋_GBK"/>
        </w:rPr>
        <w:t>数智化</w:t>
      </w:r>
      <w:r>
        <w:rPr>
          <w:rFonts w:hint="eastAsia" w:ascii="方正仿宋_GBK" w:hAnsi="方正仿宋_GBK"/>
          <w:lang w:eastAsia="zh-Hans"/>
        </w:rPr>
        <w:t>风控建设，协同</w:t>
      </w:r>
      <w:r>
        <w:rPr>
          <w:rFonts w:hint="eastAsia" w:ascii="方正仿宋_GBK" w:hAnsi="方正仿宋_GBK"/>
        </w:rPr>
        <w:t>数智化管控</w:t>
      </w:r>
      <w:r>
        <w:rPr>
          <w:rFonts w:hint="eastAsia" w:ascii="方正仿宋_GBK" w:hAnsi="方正仿宋_GBK"/>
          <w:lang w:eastAsia="zh-Hans"/>
        </w:rPr>
        <w:t>系统，合理保障合理保</w:t>
      </w:r>
      <w:r>
        <w:rPr>
          <w:rFonts w:hint="eastAsia" w:ascii="方正仿宋_GBK" w:hAnsi="方正仿宋_GBK"/>
        </w:rPr>
        <w:t>证实现经营管理目标、财务财产安全，保证企业运营有关规章制度有序进行，同时确保集团业务良性发展，切实提高投资收益质量，最大程度地防范和降低集团运行风险，确保集团利益。</w:t>
      </w:r>
    </w:p>
    <w:p>
      <w:pPr>
        <w:kinsoku/>
        <w:wordWrap/>
        <w:topLinePunct w:val="0"/>
        <w:autoSpaceDE/>
        <w:autoSpaceDN/>
        <w:bidi w:val="0"/>
        <w:spacing w:line="560" w:lineRule="exact"/>
        <w:ind w:left="604" w:leftChars="200" w:firstLine="0" w:firstLineChars="0"/>
        <w:jc w:val="both"/>
        <w:rPr>
          <w:rFonts w:hint="default" w:ascii="方正仿宋_GBK" w:hAnsi="方正仿宋_GBK" w:eastAsia="方正仿宋_GBK"/>
          <w:lang w:val="en-US" w:eastAsia="zh-CN"/>
        </w:rPr>
      </w:pPr>
      <w:r>
        <w:rPr>
          <w:rFonts w:hint="eastAsia" w:ascii="方正仿宋_GBK" w:hAnsi="方正仿宋_GBK"/>
        </w:rPr>
        <w:t>4.</w:t>
      </w:r>
      <w:r>
        <w:rPr>
          <w:rFonts w:hint="eastAsia" w:ascii="方正仿宋_GBK" w:hAnsi="方正仿宋_GBK"/>
          <w:lang w:val="en-US" w:eastAsia="zh-CN"/>
        </w:rPr>
        <w:t>形成</w:t>
      </w:r>
      <w:r>
        <w:rPr>
          <w:rFonts w:hint="eastAsia" w:ascii="方正仿宋_GBK" w:hAnsi="方正仿宋_GBK"/>
        </w:rPr>
        <w:t>协同办公，促进</w:t>
      </w:r>
      <w:r>
        <w:rPr>
          <w:rFonts w:hint="eastAsia" w:ascii="方正仿宋_GBK" w:hAnsi="方正仿宋_GBK"/>
          <w:lang w:val="en-US" w:eastAsia="zh-CN"/>
        </w:rPr>
        <w:t>组织运行在线在时</w:t>
      </w:r>
    </w:p>
    <w:p>
      <w:pPr>
        <w:pStyle w:val="2"/>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充分发挥数字化驱动作用，建设完善集团数智化管理系统，统一基础数据标准，实现企业内部业务数据互联互通，强化协同办公，增强企业的凝聚力与核心竞争力，</w:t>
      </w:r>
      <w:r>
        <w:rPr>
          <w:rFonts w:hint="eastAsia" w:ascii="方正仿宋_GBK" w:hAnsi="方正仿宋_GBK"/>
          <w:lang w:val="en-US" w:eastAsia="zh-CN"/>
        </w:rPr>
        <w:t>促进组织运行在线在时，</w:t>
      </w:r>
      <w:r>
        <w:rPr>
          <w:rFonts w:hint="eastAsia" w:ascii="方正仿宋_GBK" w:hAnsi="方正仿宋_GBK"/>
        </w:rPr>
        <w:t>加快集团</w:t>
      </w:r>
      <w:r>
        <w:rPr>
          <w:rFonts w:hint="eastAsia" w:ascii="方正仿宋_GBK" w:hAnsi="方正仿宋_GBK"/>
          <w:lang w:val="en-US" w:eastAsia="zh-CN"/>
        </w:rPr>
        <w:t>数智化</w:t>
      </w:r>
      <w:r>
        <w:rPr>
          <w:rFonts w:hint="eastAsia" w:ascii="方正仿宋_GBK" w:hAnsi="方正仿宋_GBK"/>
        </w:rPr>
        <w:t>进程。</w:t>
      </w:r>
    </w:p>
    <w:p>
      <w:pPr>
        <w:pStyle w:val="5"/>
        <w:kinsoku/>
        <w:wordWrap/>
        <w:topLinePunct w:val="0"/>
        <w:autoSpaceDE/>
        <w:autoSpaceDN/>
        <w:bidi w:val="0"/>
        <w:spacing w:before="198" w:after="198" w:line="560" w:lineRule="exact"/>
        <w:rPr>
          <w:rFonts w:hint="default"/>
        </w:rPr>
      </w:pPr>
      <w:bookmarkStart w:id="72" w:name="_Toc7242"/>
      <w:bookmarkStart w:id="73" w:name="_Toc13076"/>
      <w:bookmarkStart w:id="74" w:name="_Toc9264"/>
      <w:bookmarkStart w:id="75" w:name="_Toc10191"/>
      <w:bookmarkStart w:id="76" w:name="_Toc16679"/>
      <w:bookmarkStart w:id="77" w:name="_Toc21710"/>
      <w:bookmarkStart w:id="78" w:name="_Toc17603"/>
      <w:r>
        <w:t>建设任务</w:t>
      </w:r>
      <w:bookmarkEnd w:id="72"/>
      <w:bookmarkEnd w:id="73"/>
      <w:bookmarkEnd w:id="74"/>
      <w:bookmarkEnd w:id="75"/>
      <w:bookmarkEnd w:id="76"/>
      <w:bookmarkEnd w:id="77"/>
      <w:bookmarkEnd w:id="78"/>
    </w:p>
    <w:p>
      <w:pPr>
        <w:pStyle w:val="2"/>
        <w:kinsoku/>
        <w:wordWrap/>
        <w:topLinePunct w:val="0"/>
        <w:autoSpaceDE/>
        <w:autoSpaceDN/>
        <w:bidi w:val="0"/>
        <w:spacing w:line="560" w:lineRule="exact"/>
        <w:ind w:firstLine="604"/>
        <w:jc w:val="both"/>
        <w:rPr>
          <w:rFonts w:ascii="方正仿宋_GBK" w:hAnsi="方正仿宋_GBK"/>
          <w:lang w:eastAsia="zh-Hans"/>
        </w:rPr>
      </w:pPr>
      <w:r>
        <w:rPr>
          <w:rFonts w:hint="eastAsia" w:ascii="方正仿宋_GBK" w:hAnsi="方正仿宋_GBK"/>
        </w:rPr>
        <w:t>本期将围绕“1+1+2+N”打造整体构架和基础支持平台和基础应用系统，主要建设包括1朵云-云平台，1中心-数据中心、2平台-基础支持平台和数据中台，N个应用场景，将建立8个板块（包括数智化战略投资、数智化经营管理、数智化创新管理、数智化财务管理、数智化人力资源管理、数智化法务与风险管理、数智化审计管理、数智化协同办公）、14个应用系统（包括数智化战略管理系统、数智化投资管理系统、领导驾驶舱、数智化创新管理系统、数智化运营管理系统、数智化资产管理系统、数智化安全环保管理</w:t>
      </w:r>
      <w:r>
        <w:rPr>
          <w:rFonts w:hint="eastAsia" w:ascii="方正仿宋_GBK" w:hAnsi="方正仿宋_GBK"/>
          <w:lang w:val="en-US" w:eastAsia="zh-CN"/>
        </w:rPr>
        <w:t>系统</w:t>
      </w:r>
      <w:r>
        <w:rPr>
          <w:rFonts w:hint="eastAsia" w:ascii="方正仿宋_GBK" w:hAnsi="方正仿宋_GBK"/>
        </w:rPr>
        <w:t>、数智化财务管理系统、数智化人力资源管理系统、数智化法务管理系统、数智化</w:t>
      </w:r>
      <w:r>
        <w:rPr>
          <w:rFonts w:hint="eastAsia" w:ascii="方正仿宋_GBK" w:hAnsi="方正仿宋_GBK"/>
          <w:lang w:val="en-US" w:eastAsia="zh-CN"/>
        </w:rPr>
        <w:t>风险</w:t>
      </w:r>
      <w:r>
        <w:rPr>
          <w:rFonts w:hint="eastAsia" w:ascii="方正仿宋_GBK" w:hAnsi="方正仿宋_GBK"/>
        </w:rPr>
        <w:t>管理系统、数智化审计管理系统、协同办公系统、视频会议系统）。</w:t>
      </w:r>
    </w:p>
    <w:p>
      <w:pPr>
        <w:pStyle w:val="5"/>
        <w:kinsoku/>
        <w:wordWrap/>
        <w:topLinePunct w:val="0"/>
        <w:autoSpaceDE/>
        <w:autoSpaceDN/>
        <w:bidi w:val="0"/>
        <w:spacing w:before="198" w:after="198" w:line="560" w:lineRule="exact"/>
        <w:rPr>
          <w:rFonts w:hint="default"/>
        </w:rPr>
      </w:pPr>
      <w:bookmarkStart w:id="79" w:name="_Toc4421"/>
      <w:bookmarkStart w:id="80" w:name="_Toc18334"/>
      <w:bookmarkStart w:id="81" w:name="_Toc30483"/>
      <w:bookmarkStart w:id="82" w:name="_Toc18453"/>
      <w:bookmarkStart w:id="83" w:name="_Toc9696"/>
      <w:bookmarkStart w:id="84" w:name="_Toc29192"/>
      <w:bookmarkStart w:id="85" w:name="_Toc20850"/>
      <w:r>
        <w:t>系统</w:t>
      </w:r>
      <w:bookmarkEnd w:id="79"/>
      <w:r>
        <w:t>架构</w:t>
      </w:r>
      <w:bookmarkEnd w:id="80"/>
      <w:bookmarkEnd w:id="81"/>
      <w:bookmarkEnd w:id="82"/>
      <w:r>
        <w:t>设计</w:t>
      </w:r>
      <w:bookmarkEnd w:id="83"/>
      <w:bookmarkEnd w:id="84"/>
      <w:bookmarkEnd w:id="85"/>
    </w:p>
    <w:p>
      <w:pPr>
        <w:pStyle w:val="6"/>
        <w:kinsoku/>
        <w:wordWrap/>
        <w:topLinePunct w:val="0"/>
        <w:autoSpaceDE/>
        <w:autoSpaceDN/>
        <w:bidi w:val="0"/>
        <w:spacing w:before="198" w:after="198" w:line="560" w:lineRule="exact"/>
      </w:pPr>
      <w:bookmarkStart w:id="86" w:name="_Toc10144"/>
      <w:bookmarkStart w:id="87" w:name="_Toc25828"/>
      <w:bookmarkStart w:id="88" w:name="_Toc967"/>
      <w:bookmarkStart w:id="89" w:name="_Toc10096"/>
      <w:bookmarkStart w:id="90" w:name="_Toc9512"/>
      <w:bookmarkStart w:id="91" w:name="_Toc5020"/>
      <w:r>
        <w:rPr>
          <w:rFonts w:hint="eastAsia"/>
        </w:rPr>
        <w:t>总体架构</w:t>
      </w:r>
      <w:bookmarkEnd w:id="86"/>
      <w:bookmarkEnd w:id="87"/>
      <w:bookmarkEnd w:id="88"/>
      <w:bookmarkEnd w:id="89"/>
      <w:bookmarkEnd w:id="90"/>
      <w:bookmarkEnd w:id="91"/>
      <w:bookmarkStart w:id="92" w:name="_Toc519782434"/>
      <w:bookmarkStart w:id="93" w:name="_Toc16642"/>
      <w:bookmarkStart w:id="94" w:name="_Toc300852826"/>
      <w:bookmarkStart w:id="95" w:name="_Toc4031"/>
    </w:p>
    <w:p>
      <w:pPr>
        <w:pStyle w:val="2"/>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重庆市农业投资集团有限公司数智化管控平台围绕“1+1+2+N”打造总体架构，系统总体架构由“五层次、三体系”组成，具体如下：</w:t>
      </w:r>
    </w:p>
    <w:p>
      <w:pPr>
        <w:pStyle w:val="14"/>
        <w:kinsoku/>
        <w:wordWrap/>
        <w:topLinePunct w:val="0"/>
        <w:autoSpaceDE/>
        <w:autoSpaceDN/>
        <w:bidi w:val="0"/>
        <w:spacing w:line="560" w:lineRule="exact"/>
        <w:ind w:firstLine="0" w:firstLineChars="0"/>
        <w:jc w:val="center"/>
        <w:rPr>
          <w:rFonts w:hint="eastAsia" w:ascii="方正仿宋_GBK" w:hAnsi="方正仿宋_GBK" w:eastAsia="方正仿宋_GBK"/>
          <w:lang w:eastAsia="zh-CN"/>
        </w:rPr>
      </w:pPr>
      <w:r>
        <w:rPr>
          <w:rFonts w:hint="eastAsia" w:ascii="方正仿宋_GBK" w:hAnsi="方正仿宋_GBK" w:eastAsia="方正仿宋_GBK"/>
          <w:lang w:eastAsia="zh-CN"/>
        </w:rPr>
        <w:drawing>
          <wp:inline distT="0" distB="0" distL="114300" distR="114300">
            <wp:extent cx="5240655" cy="8224520"/>
            <wp:effectExtent l="0" t="0" r="17145" b="5080"/>
            <wp:docPr id="2" name="图片 2" descr="C:\Users\leo\Desktop\微信图片_20220125165044.jpg微信图片_20220125165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leo\Desktop\微信图片_20220125165044.jpg微信图片_20220125165044"/>
                    <pic:cNvPicPr>
                      <a:picLocks noChangeAspect="1"/>
                    </pic:cNvPicPr>
                  </pic:nvPicPr>
                  <pic:blipFill>
                    <a:blip r:embed="rId4"/>
                    <a:srcRect/>
                    <a:stretch>
                      <a:fillRect/>
                    </a:stretch>
                  </pic:blipFill>
                  <pic:spPr>
                    <a:xfrm>
                      <a:off x="0" y="0"/>
                      <a:ext cx="5240655" cy="8224520"/>
                    </a:xfrm>
                    <a:prstGeom prst="rect">
                      <a:avLst/>
                    </a:prstGeom>
                  </pic:spPr>
                </pic:pic>
              </a:graphicData>
            </a:graphic>
          </wp:inline>
        </w:drawing>
      </w:r>
    </w:p>
    <w:p>
      <w:pPr>
        <w:pStyle w:val="15"/>
        <w:numPr>
          <w:ilvl w:val="0"/>
          <w:numId w:val="4"/>
        </w:numPr>
        <w:tabs>
          <w:tab w:val="left" w:pos="0"/>
        </w:tabs>
        <w:kinsoku/>
        <w:wordWrap/>
        <w:topLinePunct w:val="0"/>
        <w:autoSpaceDE/>
        <w:autoSpaceDN/>
        <w:bidi w:val="0"/>
        <w:spacing w:before="198" w:after="397" w:line="560" w:lineRule="exact"/>
        <w:rPr>
          <w:rFonts w:ascii="方正仿宋_GBK" w:hAnsi="方正仿宋_GBK"/>
          <w:sz w:val="28"/>
        </w:rPr>
      </w:pPr>
      <w:r>
        <w:rPr>
          <w:rFonts w:hint="eastAsia" w:ascii="方正仿宋_GBK" w:hAnsi="方正仿宋_GBK"/>
          <w:sz w:val="28"/>
        </w:rPr>
        <w:t xml:space="preserve"> 总体架构图</w:t>
      </w:r>
    </w:p>
    <w:bookmarkEnd w:id="92"/>
    <w:bookmarkEnd w:id="93"/>
    <w:bookmarkEnd w:id="94"/>
    <w:bookmarkEnd w:id="95"/>
    <w:p>
      <w:pPr>
        <w:pStyle w:val="2"/>
        <w:numPr>
          <w:ilvl w:val="0"/>
          <w:numId w:val="5"/>
        </w:numPr>
        <w:kinsoku/>
        <w:wordWrap/>
        <w:topLinePunct w:val="0"/>
        <w:autoSpaceDE/>
        <w:autoSpaceDN/>
        <w:bidi w:val="0"/>
        <w:spacing w:line="560" w:lineRule="exact"/>
        <w:ind w:left="0" w:firstLine="604"/>
        <w:jc w:val="both"/>
        <w:rPr>
          <w:rFonts w:ascii="方正仿宋_GBK" w:hAnsi="方正仿宋_GBK"/>
        </w:rPr>
      </w:pPr>
      <w:bookmarkStart w:id="96" w:name="_Toc31371"/>
      <w:bookmarkStart w:id="97" w:name="_Toc24277"/>
      <w:bookmarkStart w:id="98" w:name="_Toc3948"/>
      <w:bookmarkStart w:id="99" w:name="_Toc12058"/>
      <w:r>
        <w:rPr>
          <w:rFonts w:hint="eastAsia" w:ascii="方正仿宋_GBK" w:hAnsi="方正仿宋_GBK"/>
        </w:rPr>
        <w:t>五层次</w:t>
      </w:r>
    </w:p>
    <w:p>
      <w:pPr>
        <w:pStyle w:val="2"/>
        <w:numPr>
          <w:ilvl w:val="0"/>
          <w:numId w:val="6"/>
        </w:numPr>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基础设施层</w:t>
      </w:r>
    </w:p>
    <w:p>
      <w:pPr>
        <w:pStyle w:val="2"/>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基础设施层是数智化管控系统建设项目的基础和承载，包含网络和云平台。通过网络传输至云平台进行数据的存储、计算。</w:t>
      </w:r>
    </w:p>
    <w:p>
      <w:pPr>
        <w:pStyle w:val="2"/>
        <w:numPr>
          <w:ilvl w:val="0"/>
          <w:numId w:val="6"/>
        </w:numPr>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数据资源层</w:t>
      </w:r>
    </w:p>
    <w:p>
      <w:pPr>
        <w:pStyle w:val="2"/>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数据资源层承载是整个数智化管控系统的数据核心。实现所有企业相关数据的汇聚、分析、调用、共享，以统一全局数据为基础，以数智引擎为动力，实现对应用层的赋能，提供全局数据调用、智能分析、共享交换等能力。考虑到今后企业业务的发展和各类资源整合，本次设计预留一定的预留接口。</w:t>
      </w:r>
    </w:p>
    <w:p>
      <w:pPr>
        <w:pStyle w:val="2"/>
        <w:numPr>
          <w:ilvl w:val="0"/>
          <w:numId w:val="6"/>
        </w:numPr>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平台支撑层</w:t>
      </w:r>
    </w:p>
    <w:p>
      <w:pPr>
        <w:pStyle w:val="2"/>
        <w:kinsoku/>
        <w:wordWrap/>
        <w:topLinePunct w:val="0"/>
        <w:autoSpaceDE/>
        <w:autoSpaceDN/>
        <w:bidi w:val="0"/>
        <w:spacing w:line="560" w:lineRule="exact"/>
        <w:ind w:firstLine="604"/>
        <w:jc w:val="both"/>
        <w:rPr>
          <w:rFonts w:ascii="方正仿宋_GBK" w:hAnsi="方正仿宋_GBK"/>
          <w:kern w:val="2"/>
        </w:rPr>
      </w:pPr>
      <w:r>
        <w:rPr>
          <w:rFonts w:hint="eastAsia" w:ascii="方正仿宋_GBK" w:hAnsi="方正仿宋_GBK"/>
          <w:kern w:val="2"/>
        </w:rPr>
        <w:t>平台支撑层由数据中台和基础支持平台组成，提供业务应用运行的基础软件环境。</w:t>
      </w:r>
    </w:p>
    <w:p>
      <w:pPr>
        <w:pStyle w:val="2"/>
        <w:numPr>
          <w:ilvl w:val="0"/>
          <w:numId w:val="6"/>
        </w:numPr>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应用系统层</w:t>
      </w:r>
    </w:p>
    <w:p>
      <w:pPr>
        <w:pStyle w:val="2"/>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应用系统层承载数智化管控系统的各个智能业务应用，与其他各层组成一个有机整体，本次建设的数智化战略投资、数智化经营管理、数智化创新管理、数智化财务管理、数智化人力资源、数智化法务及风险管理、数智化审计管理、数智化协同办公8个版块14个应用系统位于应用层。</w:t>
      </w:r>
    </w:p>
    <w:p>
      <w:pPr>
        <w:pStyle w:val="2"/>
        <w:numPr>
          <w:ilvl w:val="0"/>
          <w:numId w:val="6"/>
        </w:numPr>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用户展现层</w:t>
      </w:r>
    </w:p>
    <w:p>
      <w:pPr>
        <w:pStyle w:val="2"/>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用户层是数智化管控系统最终使用者。包括了集团用户、分子公司用户、其他用户。展示的途径包括电脑端、手机端</w:t>
      </w:r>
      <w:r>
        <w:rPr>
          <w:rFonts w:hint="eastAsia" w:ascii="方正仿宋_GBK" w:hAnsi="方正仿宋_GBK"/>
          <w:lang w:eastAsia="zh-CN"/>
        </w:rPr>
        <w:t>、</w:t>
      </w:r>
      <w:r>
        <w:rPr>
          <w:rFonts w:hint="eastAsia" w:ascii="方正仿宋_GBK" w:hAnsi="方正仿宋_GBK"/>
        </w:rPr>
        <w:t>大</w:t>
      </w:r>
      <w:r>
        <w:rPr>
          <w:rFonts w:hint="eastAsia" w:ascii="方正仿宋_GBK" w:hAnsi="方正仿宋_GBK"/>
          <w:lang w:val="en-US" w:eastAsia="zh-CN"/>
        </w:rPr>
        <w:t>中</w:t>
      </w:r>
      <w:r>
        <w:rPr>
          <w:rFonts w:hint="eastAsia" w:ascii="方正仿宋_GBK" w:hAnsi="方正仿宋_GBK"/>
        </w:rPr>
        <w:t>屏</w:t>
      </w:r>
      <w:r>
        <w:rPr>
          <w:rFonts w:hint="eastAsia" w:ascii="方正仿宋_GBK" w:hAnsi="方正仿宋_GBK"/>
          <w:lang w:val="en-US" w:eastAsia="zh-CN"/>
        </w:rPr>
        <w:t>展示</w:t>
      </w:r>
      <w:r>
        <w:rPr>
          <w:rFonts w:hint="eastAsia" w:ascii="方正仿宋_GBK" w:hAnsi="方正仿宋_GBK"/>
        </w:rPr>
        <w:t>端等。</w:t>
      </w:r>
    </w:p>
    <w:p>
      <w:pPr>
        <w:pStyle w:val="2"/>
        <w:numPr>
          <w:ilvl w:val="0"/>
          <w:numId w:val="5"/>
        </w:numPr>
        <w:kinsoku/>
        <w:wordWrap/>
        <w:topLinePunct w:val="0"/>
        <w:autoSpaceDE/>
        <w:autoSpaceDN/>
        <w:bidi w:val="0"/>
        <w:spacing w:line="560" w:lineRule="exact"/>
        <w:ind w:left="0" w:firstLine="604"/>
        <w:jc w:val="both"/>
        <w:rPr>
          <w:rFonts w:ascii="方正仿宋_GBK" w:hAnsi="方正仿宋_GBK"/>
        </w:rPr>
      </w:pPr>
      <w:r>
        <w:rPr>
          <w:rFonts w:hint="eastAsia" w:ascii="方正仿宋_GBK" w:hAnsi="方正仿宋_GBK"/>
        </w:rPr>
        <w:t>三体系</w:t>
      </w:r>
    </w:p>
    <w:p>
      <w:pPr>
        <w:pStyle w:val="2"/>
        <w:numPr>
          <w:ilvl w:val="0"/>
          <w:numId w:val="7"/>
        </w:numPr>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标准规范体系</w:t>
      </w:r>
    </w:p>
    <w:p>
      <w:pPr>
        <w:pStyle w:val="2"/>
        <w:kinsoku/>
        <w:wordWrap/>
        <w:topLinePunct w:val="0"/>
        <w:autoSpaceDE/>
        <w:autoSpaceDN/>
        <w:bidi w:val="0"/>
        <w:spacing w:line="560" w:lineRule="exact"/>
        <w:ind w:firstLine="604"/>
        <w:jc w:val="both"/>
      </w:pPr>
      <w:r>
        <w:rPr>
          <w:rFonts w:hint="eastAsia"/>
        </w:rPr>
        <w:t>涵盖总体、技术与平台、数据与接口、管理与服务等方面，保证整个数智化管控系统内部以及与市国资委相关系统的互联、互通和互操作。</w:t>
      </w:r>
    </w:p>
    <w:p>
      <w:pPr>
        <w:pStyle w:val="2"/>
        <w:numPr>
          <w:ilvl w:val="0"/>
          <w:numId w:val="7"/>
        </w:numPr>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安全保障体系</w:t>
      </w:r>
    </w:p>
    <w:p>
      <w:pPr>
        <w:pStyle w:val="2"/>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构建数智化管控系统的安全保障系统，全方位开展网络安全技术</w:t>
      </w:r>
      <w:r>
        <w:rPr>
          <w:rFonts w:hint="eastAsia"/>
        </w:rPr>
        <w:t>防护</w:t>
      </w:r>
      <w:r>
        <w:rPr>
          <w:rFonts w:hint="eastAsia" w:ascii="方正仿宋_GBK" w:hAnsi="方正仿宋_GBK"/>
        </w:rPr>
        <w:t>、数据资源安全防护，保障数智化管控系统的健康持续运行。</w:t>
      </w:r>
    </w:p>
    <w:p>
      <w:pPr>
        <w:pStyle w:val="2"/>
        <w:numPr>
          <w:ilvl w:val="0"/>
          <w:numId w:val="7"/>
        </w:numPr>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运维保障体系</w:t>
      </w:r>
    </w:p>
    <w:p>
      <w:pPr>
        <w:pStyle w:val="2"/>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构建数智化管控系统完善的运营维护制度、流程。为保障运营维护</w:t>
      </w:r>
      <w:r>
        <w:rPr>
          <w:rFonts w:hint="eastAsia"/>
        </w:rPr>
        <w:t>工作</w:t>
      </w:r>
      <w:r>
        <w:rPr>
          <w:rFonts w:hint="eastAsia" w:ascii="方正仿宋_GBK" w:hAnsi="方正仿宋_GBK"/>
        </w:rPr>
        <w:t>的质量和效率，制定相对完善、切实可行的运营维护管理制度和规范，确定各项运维活动的标准流程和相关岗位设置等。</w:t>
      </w:r>
    </w:p>
    <w:p>
      <w:pPr>
        <w:pStyle w:val="6"/>
        <w:kinsoku/>
        <w:wordWrap/>
        <w:topLinePunct w:val="0"/>
        <w:autoSpaceDE/>
        <w:autoSpaceDN/>
        <w:bidi w:val="0"/>
        <w:spacing w:before="198" w:after="198" w:line="560" w:lineRule="exact"/>
      </w:pPr>
      <w:bookmarkStart w:id="100" w:name="_Toc14478"/>
      <w:bookmarkStart w:id="101" w:name="_Toc3606"/>
      <w:bookmarkStart w:id="102" w:name="_Toc24403"/>
      <w:r>
        <w:rPr>
          <w:rFonts w:hint="eastAsia"/>
        </w:rPr>
        <w:t>数据架构</w:t>
      </w:r>
      <w:bookmarkEnd w:id="100"/>
      <w:bookmarkEnd w:id="101"/>
      <w:bookmarkEnd w:id="102"/>
    </w:p>
    <w:p>
      <w:pPr>
        <w:pStyle w:val="2"/>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重庆市农业投资集团有限公司数据架构如下：</w:t>
      </w:r>
    </w:p>
    <w:p>
      <w:pPr>
        <w:kinsoku/>
        <w:wordWrap/>
        <w:topLinePunct w:val="0"/>
        <w:autoSpaceDE/>
        <w:autoSpaceDN/>
        <w:bidi w:val="0"/>
        <w:spacing w:line="560" w:lineRule="exact"/>
        <w:ind w:firstLine="0" w:firstLineChars="0"/>
        <w:jc w:val="center"/>
        <w:rPr>
          <w:rFonts w:ascii="方正仿宋_GBK" w:hAnsi="方正仿宋_GBK"/>
        </w:rPr>
      </w:pPr>
      <w:r>
        <w:rPr>
          <w:rFonts w:hint="eastAsia" w:ascii="方正仿宋_GBK" w:hAnsi="方正仿宋_GBK"/>
        </w:rPr>
        <w:drawing>
          <wp:inline distT="0" distB="0" distL="114300" distR="114300">
            <wp:extent cx="5236845" cy="3084830"/>
            <wp:effectExtent l="0" t="0" r="1905" b="1270"/>
            <wp:docPr id="20" name="图片 20" descr="数据架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数据架构"/>
                    <pic:cNvPicPr>
                      <a:picLocks noChangeAspect="1"/>
                    </pic:cNvPicPr>
                  </pic:nvPicPr>
                  <pic:blipFill>
                    <a:blip r:embed="rId5"/>
                    <a:stretch>
                      <a:fillRect/>
                    </a:stretch>
                  </pic:blipFill>
                  <pic:spPr>
                    <a:xfrm>
                      <a:off x="0" y="0"/>
                      <a:ext cx="5236845" cy="3084830"/>
                    </a:xfrm>
                    <a:prstGeom prst="rect">
                      <a:avLst/>
                    </a:prstGeom>
                  </pic:spPr>
                </pic:pic>
              </a:graphicData>
            </a:graphic>
          </wp:inline>
        </w:drawing>
      </w:r>
    </w:p>
    <w:p>
      <w:pPr>
        <w:pStyle w:val="15"/>
        <w:numPr>
          <w:ilvl w:val="0"/>
          <w:numId w:val="4"/>
        </w:numPr>
        <w:tabs>
          <w:tab w:val="left" w:pos="0"/>
        </w:tabs>
        <w:kinsoku/>
        <w:wordWrap/>
        <w:topLinePunct w:val="0"/>
        <w:autoSpaceDE/>
        <w:autoSpaceDN/>
        <w:bidi w:val="0"/>
        <w:spacing w:before="198" w:after="397" w:line="560" w:lineRule="exact"/>
        <w:rPr>
          <w:rFonts w:ascii="方正仿宋_GBK" w:hAnsi="方正仿宋_GBK"/>
          <w:sz w:val="28"/>
        </w:rPr>
      </w:pPr>
      <w:r>
        <w:rPr>
          <w:rFonts w:hint="eastAsia" w:ascii="方正仿宋_GBK" w:hAnsi="方正仿宋_GBK"/>
          <w:sz w:val="28"/>
        </w:rPr>
        <w:t xml:space="preserve"> 数据架构图</w:t>
      </w:r>
    </w:p>
    <w:p>
      <w:pPr>
        <w:pStyle w:val="2"/>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数智化管控系统向下通过集团/子公司人员系统填报采集实时数据以及汇聚集团/子公司相关系统外部数据源所提供数据；向上通过数据交换平台与市国资数据采集/交换平台对接，实现市国资委相关数据的共享交换；横向与税务、银行、商旅平台等其他系统通过数据采集/交换平台实现相关业务数据的共享交换。同时数智化管控系统的数据采集/采集交换平台也是支撑应用体系的数据底座，为各个应用提供数据调用接口，并通过数据的智能化分析挖掘为业务应用赋能。</w:t>
      </w:r>
    </w:p>
    <w:p>
      <w:pPr>
        <w:pStyle w:val="6"/>
        <w:kinsoku/>
        <w:wordWrap/>
        <w:topLinePunct w:val="0"/>
        <w:autoSpaceDE/>
        <w:autoSpaceDN/>
        <w:bidi w:val="0"/>
        <w:spacing w:before="198" w:after="198" w:line="560" w:lineRule="exact"/>
      </w:pPr>
      <w:bookmarkStart w:id="103" w:name="_Toc27247"/>
      <w:bookmarkStart w:id="104" w:name="_Toc18081"/>
      <w:bookmarkStart w:id="105" w:name="_Toc6751"/>
      <w:r>
        <w:rPr>
          <w:rFonts w:hint="eastAsia"/>
        </w:rPr>
        <w:t>应用架构</w:t>
      </w:r>
      <w:bookmarkEnd w:id="103"/>
      <w:bookmarkEnd w:id="104"/>
      <w:bookmarkEnd w:id="105"/>
    </w:p>
    <w:p>
      <w:pPr>
        <w:kinsoku/>
        <w:wordWrap/>
        <w:topLinePunct w:val="0"/>
        <w:autoSpaceDE/>
        <w:autoSpaceDN/>
        <w:bidi w:val="0"/>
        <w:spacing w:line="560" w:lineRule="exact"/>
        <w:ind w:firstLine="0" w:firstLineChars="0"/>
        <w:rPr>
          <w:rFonts w:hint="eastAsia" w:ascii="方正仿宋_GBK" w:hAnsi="方正仿宋_GBK" w:eastAsia="方正仿宋_GBK"/>
          <w:lang w:eastAsia="zh-CN"/>
        </w:rPr>
      </w:pPr>
      <w:r>
        <w:rPr>
          <w:rFonts w:hint="eastAsia" w:ascii="方正仿宋_GBK" w:hAnsi="方正仿宋_GBK" w:eastAsia="方正仿宋_GBK"/>
          <w:lang w:eastAsia="zh-CN"/>
        </w:rPr>
        <w:drawing>
          <wp:inline distT="0" distB="0" distL="114300" distR="114300">
            <wp:extent cx="5236845" cy="2729865"/>
            <wp:effectExtent l="0" t="0" r="1905" b="13335"/>
            <wp:docPr id="3" name="图片 3" descr="应用架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应用架构图"/>
                    <pic:cNvPicPr>
                      <a:picLocks noChangeAspect="1"/>
                    </pic:cNvPicPr>
                  </pic:nvPicPr>
                  <pic:blipFill>
                    <a:blip r:embed="rId6"/>
                    <a:stretch>
                      <a:fillRect/>
                    </a:stretch>
                  </pic:blipFill>
                  <pic:spPr>
                    <a:xfrm>
                      <a:off x="0" y="0"/>
                      <a:ext cx="5236845" cy="2729865"/>
                    </a:xfrm>
                    <a:prstGeom prst="rect">
                      <a:avLst/>
                    </a:prstGeom>
                  </pic:spPr>
                </pic:pic>
              </a:graphicData>
            </a:graphic>
          </wp:inline>
        </w:drawing>
      </w:r>
    </w:p>
    <w:p>
      <w:pPr>
        <w:pStyle w:val="15"/>
        <w:numPr>
          <w:ilvl w:val="0"/>
          <w:numId w:val="4"/>
        </w:numPr>
        <w:tabs>
          <w:tab w:val="left" w:pos="0"/>
        </w:tabs>
        <w:kinsoku/>
        <w:wordWrap/>
        <w:topLinePunct w:val="0"/>
        <w:autoSpaceDE/>
        <w:autoSpaceDN/>
        <w:bidi w:val="0"/>
        <w:spacing w:before="198" w:after="397" w:line="560" w:lineRule="exact"/>
        <w:rPr>
          <w:rFonts w:ascii="方正仿宋_GBK" w:hAnsi="方正仿宋_GBK"/>
          <w:sz w:val="28"/>
        </w:rPr>
      </w:pPr>
      <w:r>
        <w:rPr>
          <w:rFonts w:hint="eastAsia" w:ascii="方正仿宋_GBK" w:hAnsi="方正仿宋_GBK"/>
          <w:sz w:val="28"/>
        </w:rPr>
        <w:t xml:space="preserve"> 应用架构图</w:t>
      </w:r>
    </w:p>
    <w:p>
      <w:pPr>
        <w:pStyle w:val="2"/>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数智化管控系统项目应用架构共分为三级，第一级为数智化管控系统，第二级包括数智化战略投资、数智化经营管理、数智化创新管理、数智化财务管理、数智化人力资源、数智化法务及风险管理、数智化审计管理、数智化协同办公8大版块，第三级共14个应用系统，分别为：</w:t>
      </w:r>
    </w:p>
    <w:p>
      <w:pPr>
        <w:pStyle w:val="2"/>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数智化战略投资包括战略规划管理、投资管理、领导</w:t>
      </w:r>
      <w:r>
        <w:rPr>
          <w:rFonts w:hint="eastAsia" w:ascii="方正仿宋_GBK" w:hAnsi="方正仿宋_GBK"/>
          <w:lang w:eastAsia="zh-CN"/>
        </w:rPr>
        <w:t>驾驶舱</w:t>
      </w:r>
      <w:r>
        <w:rPr>
          <w:rFonts w:hint="eastAsia" w:ascii="方正仿宋_GBK" w:hAnsi="方正仿宋_GBK"/>
        </w:rPr>
        <w:t>3个应用系统；数智化经营管理包含运营管理、资产管理、安全环保3个应用系统；数智化创新管理为1个应用系统，主要包含创新组织体系管理、创新项目管理、创新统计管理、创新项目考核、创新成果奖励、创新政策库管理</w:t>
      </w:r>
      <w:r>
        <w:rPr>
          <w:rFonts w:hint="eastAsia" w:ascii="方正仿宋_GBK" w:hAnsi="方正仿宋_GBK"/>
          <w:lang w:eastAsia="zh-CN"/>
        </w:rPr>
        <w:t>、</w:t>
      </w:r>
      <w:r>
        <w:rPr>
          <w:rFonts w:hint="eastAsia" w:ascii="方正仿宋_GBK" w:hAnsi="方正仿宋_GBK"/>
          <w:lang w:val="en-US" w:eastAsia="zh-CN"/>
        </w:rPr>
        <w:t>知识产权管理</w:t>
      </w:r>
      <w:r>
        <w:rPr>
          <w:rFonts w:hint="eastAsia" w:ascii="方正仿宋_GBK" w:hAnsi="方正仿宋_GBK"/>
        </w:rPr>
        <w:t>等功能模块；数智化财务管理为1个应用系统，主要包含财务</w:t>
      </w:r>
      <w:r>
        <w:rPr>
          <w:rFonts w:hint="eastAsia" w:ascii="方正仿宋_GBK" w:hAnsi="方正仿宋_GBK"/>
          <w:lang w:val="en-US" w:eastAsia="zh-CN"/>
        </w:rPr>
        <w:t>集中</w:t>
      </w:r>
      <w:r>
        <w:rPr>
          <w:rFonts w:hint="eastAsia" w:ascii="方正仿宋_GBK" w:hAnsi="方正仿宋_GBK"/>
        </w:rPr>
        <w:t>核算、资金管理、税务管理、财务分析、</w:t>
      </w:r>
      <w:r>
        <w:rPr>
          <w:rFonts w:hint="eastAsia" w:ascii="方正仿宋_GBK" w:hAnsi="方正仿宋_GBK"/>
          <w:lang w:val="en-US" w:eastAsia="zh-CN"/>
        </w:rPr>
        <w:t>财务报表、全面预算、</w:t>
      </w:r>
      <w:r>
        <w:rPr>
          <w:rFonts w:hint="eastAsia" w:ascii="方正仿宋_GBK" w:hAnsi="方正仿宋_GBK"/>
        </w:rPr>
        <w:t>财务共享</w:t>
      </w:r>
      <w:r>
        <w:rPr>
          <w:rFonts w:hint="eastAsia" w:ascii="方正仿宋_GBK" w:hAnsi="方正仿宋_GBK"/>
          <w:lang w:val="en-US" w:eastAsia="zh-CN"/>
        </w:rPr>
        <w:t>中心</w:t>
      </w:r>
      <w:r>
        <w:rPr>
          <w:rFonts w:hint="eastAsia" w:ascii="方正仿宋_GBK" w:hAnsi="方正仿宋_GBK"/>
        </w:rPr>
        <w:t>、员工信用管理等功能模块；数智化人力资源为1个应用系统，主要包含组织管理、招聘管理、人事管理、培训管理、学习平台、时间管理、社保福利、绩效管理、薪酬管理、薪酬总额控制等功能模块；数智化法务及风险管理包含法务管理、</w:t>
      </w:r>
      <w:r>
        <w:rPr>
          <w:rFonts w:hint="eastAsia" w:ascii="方正仿宋_GBK" w:hAnsi="方正仿宋_GBK"/>
          <w:lang w:eastAsia="zh-CN"/>
        </w:rPr>
        <w:t>风险管理</w:t>
      </w:r>
      <w:r>
        <w:rPr>
          <w:rFonts w:hint="eastAsia" w:ascii="方正仿宋_GBK" w:hAnsi="方正仿宋_GBK"/>
        </w:rPr>
        <w:t>2个应用系统；数智化审计管理为1个应用系统，主要包含审计计划、审计准备、审计实施、审计报告、审计跟踪、审计决策等功能模块；数智化协同办公包含2个应用系统，分别为协同办公和视频会议。</w:t>
      </w:r>
    </w:p>
    <w:p>
      <w:pPr>
        <w:pStyle w:val="5"/>
        <w:kinsoku/>
        <w:wordWrap/>
        <w:topLinePunct w:val="0"/>
        <w:autoSpaceDE/>
        <w:autoSpaceDN/>
        <w:bidi w:val="0"/>
        <w:spacing w:before="198" w:after="198" w:line="560" w:lineRule="exact"/>
        <w:rPr>
          <w:rFonts w:hint="default"/>
        </w:rPr>
      </w:pPr>
      <w:bookmarkStart w:id="106" w:name="_Toc16385"/>
      <w:bookmarkStart w:id="107" w:name="_Toc1539"/>
      <w:bookmarkStart w:id="108" w:name="_Toc4005"/>
      <w:r>
        <w:t>系统技术路线设计</w:t>
      </w:r>
      <w:bookmarkEnd w:id="106"/>
      <w:bookmarkEnd w:id="107"/>
      <w:bookmarkEnd w:id="108"/>
    </w:p>
    <w:p>
      <w:pPr>
        <w:pStyle w:val="6"/>
        <w:kinsoku/>
        <w:wordWrap/>
        <w:topLinePunct w:val="0"/>
        <w:autoSpaceDE/>
        <w:autoSpaceDN/>
        <w:bidi w:val="0"/>
        <w:spacing w:before="198" w:after="198" w:line="560" w:lineRule="exact"/>
      </w:pPr>
      <w:bookmarkStart w:id="109" w:name="_Toc83539814"/>
      <w:bookmarkStart w:id="110" w:name="_Toc31260"/>
      <w:bookmarkStart w:id="111" w:name="_Toc28560"/>
      <w:bookmarkStart w:id="112" w:name="_Toc20601"/>
      <w:r>
        <w:rPr>
          <w:rFonts w:hint="eastAsia"/>
        </w:rPr>
        <w:t>云计算</w:t>
      </w:r>
      <w:bookmarkEnd w:id="109"/>
      <w:bookmarkEnd w:id="110"/>
      <w:bookmarkEnd w:id="111"/>
      <w:bookmarkEnd w:id="112"/>
    </w:p>
    <w:p>
      <w:pPr>
        <w:pStyle w:val="2"/>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云计算是一种服务模式，能把资源像自来水一样提供给用户使用，便捷地按需从资源池中取得资源，并能够使资源快速供应和释放，从而减轻管理人员的工作量，并与服务供应商的交互减小到最低限度。云计算中心的建设能够有效整合计算资源和数据，支撑更大规模的应用，处理更大规模的数据，并且能够对数据进行深度挖掘，从而为企业发展提供更好的平台。</w:t>
      </w:r>
    </w:p>
    <w:p>
      <w:pPr>
        <w:pStyle w:val="6"/>
        <w:kinsoku/>
        <w:wordWrap/>
        <w:topLinePunct w:val="0"/>
        <w:autoSpaceDE/>
        <w:autoSpaceDN/>
        <w:bidi w:val="0"/>
        <w:spacing w:before="198" w:after="198" w:line="560" w:lineRule="exact"/>
      </w:pPr>
      <w:bookmarkStart w:id="113" w:name="_Toc18917"/>
      <w:bookmarkStart w:id="114" w:name="_Toc32578"/>
      <w:bookmarkStart w:id="115" w:name="_Toc8410"/>
      <w:bookmarkStart w:id="116" w:name="_Toc83539815"/>
      <w:r>
        <w:rPr>
          <w:rFonts w:hint="eastAsia"/>
        </w:rPr>
        <w:t>容器技术</w:t>
      </w:r>
      <w:bookmarkEnd w:id="113"/>
      <w:bookmarkEnd w:id="114"/>
      <w:bookmarkEnd w:id="115"/>
      <w:bookmarkEnd w:id="116"/>
    </w:p>
    <w:p>
      <w:pPr>
        <w:pStyle w:val="2"/>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容器是轻量级的操作系统级虚拟化，可以让我们在一个资源隔离的进程中运行应用及其依赖项。运行应用程序所必需的组件都将打包成一个镜像并可以复用。执行镜像时，它运行在一个隔离环境中，并且不会共享宿主机的内存、CPU以及磁盘，这就保证了容器内进程不能监控容器外的任何进程。</w:t>
      </w:r>
    </w:p>
    <w:p>
      <w:pPr>
        <w:pStyle w:val="6"/>
        <w:kinsoku/>
        <w:wordWrap/>
        <w:topLinePunct w:val="0"/>
        <w:autoSpaceDE/>
        <w:autoSpaceDN/>
        <w:bidi w:val="0"/>
        <w:spacing w:before="198" w:after="198" w:line="560" w:lineRule="exact"/>
      </w:pPr>
      <w:bookmarkStart w:id="117" w:name="_Toc21521"/>
      <w:bookmarkStart w:id="118" w:name="_Toc83539817"/>
      <w:bookmarkStart w:id="119" w:name="_Toc4184"/>
      <w:bookmarkStart w:id="120" w:name="_Toc27051"/>
      <w:r>
        <w:rPr>
          <w:rFonts w:hint="eastAsia"/>
        </w:rPr>
        <w:t>GIS</w:t>
      </w:r>
      <w:bookmarkEnd w:id="117"/>
      <w:bookmarkEnd w:id="118"/>
      <w:bookmarkEnd w:id="119"/>
      <w:bookmarkEnd w:id="120"/>
    </w:p>
    <w:p>
      <w:pPr>
        <w:pStyle w:val="2"/>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GIS技术</w:t>
      </w:r>
      <w:r>
        <w:rPr>
          <w:rFonts w:hint="eastAsia" w:ascii="方正仿宋_GBK" w:hAnsi="方正仿宋_GBK"/>
          <w:lang w:eastAsia="zh-CN"/>
        </w:rPr>
        <w:t>（</w:t>
      </w:r>
      <w:r>
        <w:rPr>
          <w:rFonts w:hint="eastAsia" w:ascii="方正仿宋_GBK" w:hAnsi="方正仿宋_GBK"/>
        </w:rPr>
        <w:t>Geographic Information Systems，地理信息系统)是多种学科交叉的产物，它以地理空间为基础，采用地理模型分析方法，实时提供多种空间和动态的地理信息，是一种为地理研究和地理决策服务的计算机技术系统。其基本功能是将表格型数据（无论它来自数据库，电子表格文件或直接在程序中输入）转换为地理图形显示，然后对显示结果浏览，操作和分析。在空间定位技术上，以GPS、GLONASS、北斗星系统为代表，在空间信息分析处理上，GIS作为集地理、测绘、计算机等多学科为一体的交叉综合性学科快速发展。</w:t>
      </w:r>
    </w:p>
    <w:p>
      <w:pPr>
        <w:pStyle w:val="6"/>
        <w:kinsoku/>
        <w:wordWrap/>
        <w:topLinePunct w:val="0"/>
        <w:autoSpaceDE/>
        <w:autoSpaceDN/>
        <w:bidi w:val="0"/>
        <w:spacing w:before="198" w:after="198" w:line="560" w:lineRule="exact"/>
      </w:pPr>
      <w:bookmarkStart w:id="121" w:name="_Toc30363"/>
      <w:bookmarkStart w:id="122" w:name="_Toc8786"/>
      <w:bookmarkStart w:id="123" w:name="_Toc19276"/>
      <w:bookmarkStart w:id="124" w:name="_Toc83539818"/>
      <w:r>
        <w:rPr>
          <w:rFonts w:hint="eastAsia"/>
        </w:rPr>
        <w:t>Spring Boot</w:t>
      </w:r>
      <w:bookmarkEnd w:id="121"/>
      <w:bookmarkEnd w:id="122"/>
      <w:bookmarkEnd w:id="123"/>
      <w:bookmarkEnd w:id="124"/>
    </w:p>
    <w:p>
      <w:pPr>
        <w:pStyle w:val="2"/>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Spring Boot是由Pivotal团队提供的全新框架，其设计目的是用来简化新Spring应用的初始搭建以及开发过程。该框架使用了特定的方式来进行配置，从而使开发人员不再需要定义样板化的配置。采用Spring Boot可以大大的简化开发模式，为集成的常用框架提供对应的组件支持。</w:t>
      </w:r>
    </w:p>
    <w:p>
      <w:pPr>
        <w:pStyle w:val="2"/>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Spring Boot特性：</w:t>
      </w:r>
    </w:p>
    <w:p>
      <w:pPr>
        <w:pStyle w:val="2"/>
        <w:numPr>
          <w:ilvl w:val="0"/>
          <w:numId w:val="8"/>
        </w:numPr>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使用Spring项目引导页面可以在几秒构建一个项目</w:t>
      </w:r>
    </w:p>
    <w:p>
      <w:pPr>
        <w:pStyle w:val="2"/>
        <w:numPr>
          <w:ilvl w:val="0"/>
          <w:numId w:val="8"/>
        </w:numPr>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方便对外输出各种形式的服务，如REST API、WebSocket、Web、Streaming、Tasks</w:t>
      </w:r>
    </w:p>
    <w:p>
      <w:pPr>
        <w:pStyle w:val="2"/>
        <w:numPr>
          <w:ilvl w:val="0"/>
          <w:numId w:val="8"/>
        </w:numPr>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非常简洁的安全策略集成</w:t>
      </w:r>
    </w:p>
    <w:p>
      <w:pPr>
        <w:pStyle w:val="2"/>
        <w:numPr>
          <w:ilvl w:val="0"/>
          <w:numId w:val="8"/>
        </w:numPr>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支持关系数据库和非关系数据库</w:t>
      </w:r>
    </w:p>
    <w:p>
      <w:pPr>
        <w:pStyle w:val="2"/>
        <w:numPr>
          <w:ilvl w:val="0"/>
          <w:numId w:val="8"/>
        </w:numPr>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支持运行期内嵌容器，如Tomcat、Jetty</w:t>
      </w:r>
    </w:p>
    <w:p>
      <w:pPr>
        <w:pStyle w:val="2"/>
        <w:numPr>
          <w:ilvl w:val="0"/>
          <w:numId w:val="8"/>
        </w:numPr>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强大的开发包，支持热启动</w:t>
      </w:r>
    </w:p>
    <w:p>
      <w:pPr>
        <w:pStyle w:val="2"/>
        <w:numPr>
          <w:ilvl w:val="0"/>
          <w:numId w:val="8"/>
        </w:numPr>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自动管理依赖</w:t>
      </w:r>
    </w:p>
    <w:p>
      <w:pPr>
        <w:pStyle w:val="2"/>
        <w:numPr>
          <w:ilvl w:val="0"/>
          <w:numId w:val="8"/>
        </w:numPr>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自带应用监控</w:t>
      </w:r>
    </w:p>
    <w:p>
      <w:pPr>
        <w:pStyle w:val="2"/>
        <w:numPr>
          <w:ilvl w:val="0"/>
          <w:numId w:val="8"/>
        </w:numPr>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支持各种IDE，如IntelliJ IDEA、NetBeans</w:t>
      </w:r>
    </w:p>
    <w:p>
      <w:pPr>
        <w:pStyle w:val="2"/>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Spring Boot的这些特性非常方便、快速构建独立的微服务。所以使用Spring Boot开发项目，会给传统开发带来非常大的便利度。</w:t>
      </w:r>
    </w:p>
    <w:p>
      <w:pPr>
        <w:pStyle w:val="6"/>
        <w:kinsoku/>
        <w:wordWrap/>
        <w:topLinePunct w:val="0"/>
        <w:autoSpaceDE/>
        <w:autoSpaceDN/>
        <w:bidi w:val="0"/>
        <w:spacing w:before="198" w:after="198" w:line="560" w:lineRule="exact"/>
      </w:pPr>
      <w:bookmarkStart w:id="125" w:name="_Toc26143"/>
      <w:bookmarkStart w:id="126" w:name="_Toc8299"/>
      <w:bookmarkStart w:id="127" w:name="_Toc15421"/>
      <w:bookmarkStart w:id="128" w:name="_Toc83539819"/>
      <w:r>
        <w:rPr>
          <w:rFonts w:hint="eastAsia"/>
        </w:rPr>
        <w:t>面向服务的体系结构（SOA）</w:t>
      </w:r>
      <w:bookmarkEnd w:id="125"/>
      <w:bookmarkEnd w:id="126"/>
      <w:bookmarkEnd w:id="127"/>
      <w:bookmarkEnd w:id="128"/>
    </w:p>
    <w:p>
      <w:pPr>
        <w:pStyle w:val="2"/>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面向服务的体系结构（SOA）基于服务组件模型，将应用程序的不同功能单元（称为服务）通过定义良好的接口契约联系起来，接口是采用中立方式进行定义的，独立于实现服务的硬件平台、操作系统和编程语言。使得构建在这样系统中的服务可以以一种统一和通用的灵活方式进行交互，SOA组件模型具备如下特点：</w:t>
      </w:r>
    </w:p>
    <w:p>
      <w:pPr>
        <w:pStyle w:val="2"/>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1.可重用</w:t>
      </w:r>
    </w:p>
    <w:p>
      <w:pPr>
        <w:pStyle w:val="2"/>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一个服务创建后能用于多个应用和业务流程。</w:t>
      </w:r>
    </w:p>
    <w:p>
      <w:pPr>
        <w:pStyle w:val="2"/>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2.松耦合</w:t>
      </w:r>
    </w:p>
    <w:p>
      <w:pPr>
        <w:pStyle w:val="2"/>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服务请求者到服务提供者的绑定与服务之间应该是松耦合的。因此，服务请求者不需要知道服务提供者实现的技术细节，可执行服务的网络物理位置，只需要知道服务名，与服务接口即可。服务的部署、迁移、扩容极其便利。</w:t>
      </w:r>
    </w:p>
    <w:p>
      <w:pPr>
        <w:pStyle w:val="2"/>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3.明确定义的服务接口</w:t>
      </w:r>
    </w:p>
    <w:p>
      <w:pPr>
        <w:pStyle w:val="2"/>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服务交互必须是明确定义的。SOA服务组件提供标准周知的服务接口，服务请求者根据服务名，标准服务接口获取服务。</w:t>
      </w:r>
    </w:p>
    <w:p>
      <w:pPr>
        <w:pStyle w:val="2"/>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4.基于开放标准</w:t>
      </w:r>
    </w:p>
    <w:p>
      <w:pPr>
        <w:pStyle w:val="2"/>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当前SOA的实现形式基于开放标准，例如，公有WebService协议，或私有开放服务标准协议。</w:t>
      </w:r>
    </w:p>
    <w:p>
      <w:pPr>
        <w:pStyle w:val="6"/>
        <w:kinsoku/>
        <w:wordWrap/>
        <w:topLinePunct w:val="0"/>
        <w:autoSpaceDE/>
        <w:autoSpaceDN/>
        <w:bidi w:val="0"/>
        <w:spacing w:before="198" w:after="198" w:line="560" w:lineRule="exact"/>
      </w:pPr>
      <w:bookmarkStart w:id="129" w:name="_Toc24049"/>
      <w:bookmarkStart w:id="130" w:name="_Toc16097"/>
      <w:bookmarkStart w:id="131" w:name="_Toc12059"/>
      <w:bookmarkStart w:id="132" w:name="_Toc83539820"/>
      <w:r>
        <w:rPr>
          <w:rFonts w:hint="eastAsia"/>
        </w:rPr>
        <w:t>J2EE技术体系</w:t>
      </w:r>
      <w:bookmarkEnd w:id="129"/>
      <w:bookmarkEnd w:id="130"/>
      <w:bookmarkEnd w:id="131"/>
      <w:bookmarkEnd w:id="132"/>
    </w:p>
    <w:p>
      <w:pPr>
        <w:pStyle w:val="2"/>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J2EE体系结构提供中间层集成框架用来满足无需太多费用而又需要高可用性、高可靠性以及可扩展性的应用的需求。通过提供统一的开发平台，J2EE降低了开发多层应用的费用和复杂性，同时提供对现有应用程序集成强有力支持，完全支持EnterpriseJavaBeans，有良好的向导支持打包和部署应用，添加目录支持，增强了安全机制，提高了性能。</w:t>
      </w:r>
    </w:p>
    <w:p>
      <w:pPr>
        <w:pStyle w:val="2"/>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J2EE为多层WEB应用系统提供了容器平台，用户所开发的程序构件要在容器内运行（构件和容器的关系有些像计算机插件和主板的关系）。程序构件在部署时被安装在容器里，容器是能提供基本功能的底层平台，容器设置定制了J2EE服务器所</w:t>
      </w:r>
      <w:r>
        <w:rPr>
          <w:rFonts w:hint="eastAsia" w:ascii="方正仿宋_GBK" w:hAnsi="方正仿宋_GBK"/>
          <w:lang w:eastAsia="zh-CN"/>
        </w:rPr>
        <w:t>提供的内在</w:t>
      </w:r>
      <w:r>
        <w:rPr>
          <w:rFonts w:hint="eastAsia" w:ascii="方正仿宋_GBK" w:hAnsi="方正仿宋_GBK"/>
        </w:rPr>
        <w:t>支持，包括安全、事务管理、JNDI（JavaNamingandDirectoryInterface）寻址、远程连接等服务。容器与构件之间通过接口进行通信。</w:t>
      </w:r>
    </w:p>
    <w:p>
      <w:pPr>
        <w:pStyle w:val="6"/>
        <w:kinsoku/>
        <w:wordWrap/>
        <w:topLinePunct w:val="0"/>
        <w:autoSpaceDE/>
        <w:autoSpaceDN/>
        <w:bidi w:val="0"/>
        <w:spacing w:before="198" w:after="198" w:line="560" w:lineRule="exact"/>
      </w:pPr>
      <w:bookmarkStart w:id="133" w:name="_Toc30398"/>
      <w:bookmarkStart w:id="134" w:name="_Toc83539821"/>
      <w:bookmarkStart w:id="135" w:name="_Toc19825"/>
      <w:bookmarkStart w:id="136" w:name="_Toc9835"/>
      <w:r>
        <w:rPr>
          <w:rFonts w:hint="eastAsia"/>
        </w:rPr>
        <w:t>RESTful API</w:t>
      </w:r>
      <w:bookmarkEnd w:id="133"/>
      <w:bookmarkEnd w:id="134"/>
      <w:bookmarkEnd w:id="135"/>
      <w:bookmarkEnd w:id="136"/>
    </w:p>
    <w:p>
      <w:pPr>
        <w:pStyle w:val="2"/>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REST（英文：Representational State Transfer，简称REST）描述了一个架构样式的网络系统，比如web应用程序。从面向实用的角度来看，REST架构风格可以为Web开发者带来三方面的利益：</w:t>
      </w:r>
    </w:p>
    <w:p>
      <w:pPr>
        <w:pStyle w:val="2"/>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1.简单性</w:t>
      </w:r>
    </w:p>
    <w:p>
      <w:pPr>
        <w:pStyle w:val="2"/>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采用REST架构风格，对于开发、测试、运维人员来说，都会更简单。可以充分利用大量HTTP服务器端和客户端开发库、Web功能测试/性能测试工具、HTTP缓存、HTTP代理服务器、防火墙，就能解决大多数可伸缩性方面的问题。</w:t>
      </w:r>
    </w:p>
    <w:p>
      <w:pPr>
        <w:pStyle w:val="2"/>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2.可伸缩性</w:t>
      </w:r>
    </w:p>
    <w:p>
      <w:pPr>
        <w:pStyle w:val="2"/>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充分利用好通信链各个位置的HTTP缓存组件，可以带来更好的可伸缩性。其实很多时候，在Web前端做性能优化，产生的效果不亚于仅仅在服务器端做性能优化。</w:t>
      </w:r>
    </w:p>
    <w:p>
      <w:pPr>
        <w:pStyle w:val="2"/>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3.松耦合</w:t>
      </w:r>
    </w:p>
    <w:p>
      <w:pPr>
        <w:pStyle w:val="2"/>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统一接口+超文本驱动，带来了最大限度的松耦合。允许服务器端和客户端程序在很大范围内，相对独立地进化。</w:t>
      </w:r>
    </w:p>
    <w:p>
      <w:pPr>
        <w:pStyle w:val="6"/>
        <w:kinsoku/>
        <w:wordWrap/>
        <w:topLinePunct w:val="0"/>
        <w:autoSpaceDE/>
        <w:autoSpaceDN/>
        <w:bidi w:val="0"/>
        <w:spacing w:before="198" w:after="198" w:line="560" w:lineRule="exact"/>
      </w:pPr>
      <w:bookmarkStart w:id="137" w:name="_Toc83539823"/>
      <w:bookmarkStart w:id="138" w:name="_Toc16250"/>
      <w:bookmarkStart w:id="139" w:name="_Toc10894"/>
      <w:bookmarkStart w:id="140" w:name="_Toc15489"/>
      <w:r>
        <w:rPr>
          <w:rFonts w:hint="eastAsia"/>
        </w:rPr>
        <w:t>移动端H5和Web混合开发技术</w:t>
      </w:r>
      <w:bookmarkEnd w:id="137"/>
      <w:bookmarkEnd w:id="138"/>
      <w:bookmarkEnd w:id="139"/>
      <w:bookmarkEnd w:id="140"/>
    </w:p>
    <w:p>
      <w:pPr>
        <w:pStyle w:val="2"/>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目前移动端应用程序的开发模式主要有三种，分别是原生开发，移动WEB开发，以及混合开发。原生开发是目前比较常见的开发模式，当下对于原生开发的研究主要集中在如何更好的使用各个平台提供的接口上，这就需要精通各个平台的内核实现原理，比如内存的优化，进程间高效的通信。但是原生开发需要分别针对不同的操作平台进行开发，开发周期时间较长并且维护比较困难。</w:t>
      </w:r>
    </w:p>
    <w:p>
      <w:pPr>
        <w:pStyle w:val="2"/>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移动WEB开发模式过程简单，具有良好的跨平台性。目前存在很多优秀的WEB端开发框架，借助于它们可以</w:t>
      </w:r>
      <w:r>
        <w:rPr>
          <w:rFonts w:hint="eastAsia" w:ascii="方正仿宋_GBK" w:hAnsi="方正仿宋_GBK"/>
          <w:lang w:eastAsia="zh-CN"/>
        </w:rPr>
        <w:t>快速地开发</w:t>
      </w:r>
      <w:r>
        <w:rPr>
          <w:rFonts w:hint="eastAsia" w:ascii="方正仿宋_GBK" w:hAnsi="方正仿宋_GBK"/>
        </w:rPr>
        <w:t>出相应的移动WEB应用，WEB开发主要是基于HTML5技术的发展，但仍然和原生应用在性能上存在较大的差距。</w:t>
      </w:r>
    </w:p>
    <w:p>
      <w:pPr>
        <w:pStyle w:val="2"/>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HybridAPP的实现通常是通过移动混合开发框架来进行开发的。这些框架主要使用HTML5+JavaScript作为开发语言，通过JS与本地代码通信的相关技术，来调用框架封装的底层功能，比如照相机、相册、通讯录、地图API、传感器、二维码识别等。</w:t>
      </w:r>
    </w:p>
    <w:p>
      <w:pPr>
        <w:pStyle w:val="6"/>
        <w:kinsoku/>
        <w:wordWrap/>
        <w:topLinePunct w:val="0"/>
        <w:autoSpaceDE/>
        <w:autoSpaceDN/>
        <w:bidi w:val="0"/>
        <w:spacing w:before="198" w:after="198" w:line="560" w:lineRule="exact"/>
      </w:pPr>
      <w:bookmarkStart w:id="141" w:name="_Toc18403"/>
      <w:bookmarkStart w:id="142" w:name="_Toc31732"/>
      <w:bookmarkStart w:id="143" w:name="_Toc83539825"/>
      <w:bookmarkStart w:id="144" w:name="_Toc21519"/>
      <w:r>
        <w:rPr>
          <w:rFonts w:hint="eastAsia"/>
        </w:rPr>
        <w:t>B/S（服务器-浏览器）</w:t>
      </w:r>
      <w:bookmarkEnd w:id="141"/>
      <w:bookmarkEnd w:id="142"/>
      <w:bookmarkEnd w:id="143"/>
      <w:bookmarkEnd w:id="144"/>
    </w:p>
    <w:p>
      <w:pPr>
        <w:pStyle w:val="2"/>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B/S结构（Browser/Server，浏览器/服务器模式），是WEB兴起后的一种网络结构模式，WEB浏览器是客户端最主要的应用软件。这种模式统一了客户端，将系统功能实现的核心部分集中到服务器上，简化了系统的开发、维护和使用。客户机上只要安装一个浏览器，如Nets业务定制平台e Navigator或Internet Explorer，服务器安装SQL Server、Oracle、MYSQL等数据库。浏览器通过Web Server同数据库进行数据交互。</w:t>
      </w:r>
    </w:p>
    <w:p>
      <w:pPr>
        <w:pStyle w:val="4"/>
        <w:numPr>
          <w:ilvl w:val="0"/>
          <w:numId w:val="0"/>
        </w:numPr>
        <w:kinsoku/>
        <w:wordWrap/>
        <w:topLinePunct w:val="0"/>
        <w:autoSpaceDE/>
        <w:autoSpaceDN/>
        <w:bidi w:val="0"/>
        <w:spacing w:before="198" w:after="198" w:line="560" w:lineRule="exact"/>
        <w:ind w:leftChars="0"/>
      </w:pPr>
      <w:bookmarkStart w:id="145" w:name="_Toc2545"/>
      <w:bookmarkStart w:id="146" w:name="_Toc14256"/>
      <w:bookmarkStart w:id="147" w:name="_Toc2948"/>
      <w:r>
        <w:rPr>
          <w:rFonts w:hint="eastAsia"/>
          <w:lang w:eastAsia="zh-CN"/>
        </w:rPr>
        <w:t>三、</w:t>
      </w:r>
      <w:r>
        <w:rPr>
          <w:rFonts w:hint="eastAsia"/>
        </w:rPr>
        <w:t>本期项目初步设计</w:t>
      </w:r>
      <w:bookmarkEnd w:id="96"/>
      <w:bookmarkEnd w:id="97"/>
      <w:bookmarkEnd w:id="98"/>
      <w:bookmarkEnd w:id="99"/>
      <w:bookmarkEnd w:id="145"/>
      <w:bookmarkEnd w:id="146"/>
      <w:bookmarkEnd w:id="147"/>
    </w:p>
    <w:p>
      <w:pPr>
        <w:pStyle w:val="5"/>
        <w:kinsoku/>
        <w:wordWrap/>
        <w:topLinePunct w:val="0"/>
        <w:autoSpaceDE/>
        <w:autoSpaceDN/>
        <w:bidi w:val="0"/>
        <w:spacing w:before="198" w:after="198" w:line="560" w:lineRule="exact"/>
        <w:rPr>
          <w:rFonts w:hint="default"/>
        </w:rPr>
      </w:pPr>
      <w:bookmarkStart w:id="148" w:name="_Toc12871"/>
      <w:r>
        <w:t>标准规范建设内容</w:t>
      </w:r>
      <w:bookmarkEnd w:id="148"/>
    </w:p>
    <w:p>
      <w:pPr>
        <w:pStyle w:val="6"/>
        <w:kinsoku/>
        <w:wordWrap/>
        <w:topLinePunct w:val="0"/>
        <w:autoSpaceDE/>
        <w:autoSpaceDN/>
        <w:bidi w:val="0"/>
        <w:spacing w:before="198" w:after="198" w:line="560" w:lineRule="exact"/>
      </w:pPr>
      <w:bookmarkStart w:id="149" w:name="_Toc30657"/>
      <w:r>
        <w:rPr>
          <w:rFonts w:hint="eastAsia"/>
        </w:rPr>
        <w:t>标准规范建设原则</w:t>
      </w:r>
      <w:bookmarkEnd w:id="149"/>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标准规范是本项目建设的基本保障。围绕</w:t>
      </w:r>
      <w:r>
        <w:rPr>
          <w:rFonts w:hint="eastAsia" w:ascii="方正仿宋_GBK" w:hAnsi="方正仿宋_GBK"/>
          <w:snapToGrid w:val="0"/>
          <w:lang w:val="en-US" w:eastAsia="zh-CN"/>
        </w:rPr>
        <w:t>国务院</w:t>
      </w:r>
      <w:r>
        <w:rPr>
          <w:rFonts w:hint="eastAsia" w:ascii="方正仿宋_GBK" w:hAnsi="方正仿宋_GBK"/>
          <w:snapToGrid w:val="0"/>
        </w:rPr>
        <w:t>、重庆市国资委相关文件要求，以</w:t>
      </w:r>
      <w:r>
        <w:rPr>
          <w:rFonts w:hint="eastAsia" w:ascii="方正仿宋_GBK" w:hAnsi="方正仿宋_GBK"/>
          <w:snapToGrid w:val="0"/>
          <w:lang w:eastAsia="zh-CN"/>
        </w:rPr>
        <w:t>国务院</w:t>
      </w:r>
      <w:r>
        <w:rPr>
          <w:rFonts w:hint="eastAsia" w:ascii="方正仿宋_GBK" w:hAnsi="方正仿宋_GBK"/>
          <w:snapToGrid w:val="0"/>
        </w:rPr>
        <w:t>、重庆市国资委数据标准为基础，数据可对接、可共享为前提，在严格遵循</w:t>
      </w:r>
      <w:r>
        <w:rPr>
          <w:rFonts w:hint="eastAsia" w:ascii="方正仿宋_GBK" w:hAnsi="方正仿宋_GBK"/>
          <w:snapToGrid w:val="0"/>
          <w:lang w:eastAsia="zh-CN"/>
        </w:rPr>
        <w:t>国务院</w:t>
      </w:r>
      <w:r>
        <w:rPr>
          <w:rFonts w:hint="eastAsia" w:ascii="方正仿宋_GBK" w:hAnsi="方正仿宋_GBK"/>
          <w:snapToGrid w:val="0"/>
        </w:rPr>
        <w:t>、重庆市国资委数据标准以及国家有关规范标准的基础上，因地制宜，逐步建立起满足农投集团数智化管控系统适用的、完整的信息化标准规范和保障体系。</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标准规范建设遵循以下原则：</w:t>
      </w:r>
    </w:p>
    <w:p>
      <w:pPr>
        <w:numPr>
          <w:ilvl w:val="0"/>
          <w:numId w:val="9"/>
        </w:numPr>
        <w:kinsoku/>
        <w:wordWrap/>
        <w:topLinePunct w:val="0"/>
        <w:autoSpaceDE/>
        <w:autoSpaceDN/>
        <w:bidi w:val="0"/>
        <w:spacing w:line="560" w:lineRule="exact"/>
        <w:ind w:firstLine="604"/>
        <w:jc w:val="both"/>
        <w:rPr>
          <w:rFonts w:ascii="方正仿宋_GBK" w:hAnsi="方正仿宋_GBK"/>
          <w:snapToGrid w:val="0"/>
          <w:kern w:val="2"/>
        </w:rPr>
      </w:pPr>
      <w:r>
        <w:rPr>
          <w:rFonts w:hint="eastAsia" w:ascii="方正仿宋_GBK" w:hAnsi="方正仿宋_GBK"/>
          <w:snapToGrid w:val="0"/>
          <w:kern w:val="2"/>
        </w:rPr>
        <w:t>遵循国标，易于扩展</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本项目的标准建设首先要符合国家相关标准，然后再根据总体设计和当前的具体情况来制订和完善。制订和完善的标准要满足易于扩展的需求，使之能适应行业的变化。</w:t>
      </w:r>
    </w:p>
    <w:p>
      <w:pPr>
        <w:numPr>
          <w:ilvl w:val="0"/>
          <w:numId w:val="9"/>
        </w:numPr>
        <w:kinsoku/>
        <w:wordWrap/>
        <w:topLinePunct w:val="0"/>
        <w:autoSpaceDE/>
        <w:autoSpaceDN/>
        <w:bidi w:val="0"/>
        <w:spacing w:line="560" w:lineRule="exact"/>
        <w:ind w:firstLine="604"/>
        <w:jc w:val="both"/>
        <w:rPr>
          <w:rFonts w:ascii="方正仿宋_GBK" w:hAnsi="方正仿宋_GBK"/>
          <w:snapToGrid w:val="0"/>
          <w:kern w:val="2"/>
        </w:rPr>
      </w:pPr>
      <w:r>
        <w:rPr>
          <w:rFonts w:hint="eastAsia" w:ascii="方正仿宋_GBK" w:hAnsi="方正仿宋_GBK"/>
          <w:snapToGrid w:val="0"/>
          <w:kern w:val="2"/>
        </w:rPr>
        <w:t>因地制宜原则</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要根据本项目建设的具体实施情况和应用水平，在国家没有相应的标准、规范参考时，因地制宜制定符合重庆市信息化建设的标准规范。</w:t>
      </w:r>
    </w:p>
    <w:p>
      <w:pPr>
        <w:numPr>
          <w:ilvl w:val="0"/>
          <w:numId w:val="9"/>
        </w:numPr>
        <w:kinsoku/>
        <w:wordWrap/>
        <w:topLinePunct w:val="0"/>
        <w:autoSpaceDE/>
        <w:autoSpaceDN/>
        <w:bidi w:val="0"/>
        <w:spacing w:line="560" w:lineRule="exact"/>
        <w:ind w:firstLine="604"/>
        <w:jc w:val="both"/>
        <w:rPr>
          <w:rFonts w:ascii="方正仿宋_GBK" w:hAnsi="方正仿宋_GBK"/>
          <w:snapToGrid w:val="0"/>
          <w:kern w:val="2"/>
        </w:rPr>
      </w:pPr>
      <w:r>
        <w:rPr>
          <w:rFonts w:hint="eastAsia" w:ascii="方正仿宋_GBK" w:hAnsi="方正仿宋_GBK"/>
          <w:snapToGrid w:val="0"/>
          <w:kern w:val="2"/>
        </w:rPr>
        <w:t>统一兼容原则</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在标准、规范制定中，国际上有标准的，要尽量参照国际标准，国家、重庆市已出台建设标准、规范的，要遵循国家、重庆市的标准。行业上已有标准的要尽量参照行业标准。</w:t>
      </w:r>
    </w:p>
    <w:p>
      <w:pPr>
        <w:numPr>
          <w:ilvl w:val="0"/>
          <w:numId w:val="9"/>
        </w:numPr>
        <w:kinsoku/>
        <w:wordWrap/>
        <w:topLinePunct w:val="0"/>
        <w:autoSpaceDE/>
        <w:autoSpaceDN/>
        <w:bidi w:val="0"/>
        <w:spacing w:line="560" w:lineRule="exact"/>
        <w:ind w:firstLine="604"/>
        <w:jc w:val="both"/>
        <w:rPr>
          <w:rFonts w:ascii="方正仿宋_GBK" w:hAnsi="方正仿宋_GBK"/>
          <w:snapToGrid w:val="0"/>
          <w:kern w:val="2"/>
        </w:rPr>
      </w:pPr>
      <w:r>
        <w:rPr>
          <w:rFonts w:hint="eastAsia" w:ascii="方正仿宋_GBK" w:hAnsi="方正仿宋_GBK"/>
          <w:snapToGrid w:val="0"/>
          <w:kern w:val="2"/>
        </w:rPr>
        <w:t>紧密结合应用原则</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以系统建设全生命周期为出发点和原动力，在系统标准规范制定过程中，要理论联系实际，使标准规范和系统应用紧密结合，提高整个平台的应用能力。</w:t>
      </w:r>
    </w:p>
    <w:p>
      <w:pPr>
        <w:numPr>
          <w:ilvl w:val="0"/>
          <w:numId w:val="9"/>
        </w:numPr>
        <w:kinsoku/>
        <w:wordWrap/>
        <w:topLinePunct w:val="0"/>
        <w:autoSpaceDE/>
        <w:autoSpaceDN/>
        <w:bidi w:val="0"/>
        <w:spacing w:line="560" w:lineRule="exact"/>
        <w:ind w:firstLine="604"/>
        <w:jc w:val="both"/>
        <w:rPr>
          <w:rFonts w:ascii="方正仿宋_GBK" w:hAnsi="方正仿宋_GBK"/>
          <w:snapToGrid w:val="0"/>
          <w:kern w:val="2"/>
        </w:rPr>
      </w:pPr>
      <w:r>
        <w:rPr>
          <w:rFonts w:hint="eastAsia" w:ascii="方正仿宋_GBK" w:hAnsi="方正仿宋_GBK"/>
          <w:snapToGrid w:val="0"/>
          <w:kern w:val="2"/>
        </w:rPr>
        <w:t>长期规划</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标准体系是一个由多个标准构成的整体，各个标准之间相对独立而又相互联系，因此标准化体系建设是一项长期的工作。</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首先应该进行长期规划，制订整个标准框架，同时，根据目前需要，优先制订和完善部分急需标准，用于指导当前的系统建设。</w:t>
      </w:r>
    </w:p>
    <w:p>
      <w:pPr>
        <w:numPr>
          <w:ilvl w:val="0"/>
          <w:numId w:val="9"/>
        </w:numPr>
        <w:kinsoku/>
        <w:wordWrap/>
        <w:topLinePunct w:val="0"/>
        <w:autoSpaceDE/>
        <w:autoSpaceDN/>
        <w:bidi w:val="0"/>
        <w:spacing w:line="560" w:lineRule="exact"/>
        <w:ind w:firstLine="604"/>
        <w:jc w:val="both"/>
        <w:rPr>
          <w:rFonts w:ascii="方正仿宋_GBK" w:hAnsi="方正仿宋_GBK"/>
          <w:snapToGrid w:val="0"/>
          <w:kern w:val="2"/>
        </w:rPr>
      </w:pPr>
      <w:r>
        <w:rPr>
          <w:rFonts w:hint="eastAsia" w:ascii="方正仿宋_GBK" w:hAnsi="方正仿宋_GBK"/>
          <w:snapToGrid w:val="0"/>
          <w:kern w:val="2"/>
        </w:rPr>
        <w:t>切实可行，准确实用</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标准必须根据实际情况制订和修订，</w:t>
      </w:r>
      <w:r>
        <w:rPr>
          <w:rFonts w:hint="eastAsia" w:ascii="方正仿宋_GBK" w:hAnsi="方正仿宋_GBK"/>
          <w:snapToGrid w:val="0"/>
          <w:lang w:eastAsia="zh-CN"/>
        </w:rPr>
        <w:t>尽可能地</w:t>
      </w:r>
      <w:r>
        <w:rPr>
          <w:rFonts w:hint="eastAsia" w:ascii="方正仿宋_GBK" w:hAnsi="方正仿宋_GBK"/>
          <w:snapToGrid w:val="0"/>
        </w:rPr>
        <w:t>利用已有的成果，标准的制订和修订力求准确实用，使执行者易于理解和执行。</w:t>
      </w:r>
    </w:p>
    <w:p>
      <w:pPr>
        <w:pStyle w:val="6"/>
        <w:kinsoku/>
        <w:wordWrap/>
        <w:topLinePunct w:val="0"/>
        <w:autoSpaceDE/>
        <w:autoSpaceDN/>
        <w:bidi w:val="0"/>
        <w:spacing w:before="198" w:after="198" w:line="560" w:lineRule="exact"/>
      </w:pPr>
      <w:bookmarkStart w:id="150" w:name="_Toc22162"/>
      <w:r>
        <w:rPr>
          <w:rFonts w:hint="eastAsia"/>
        </w:rPr>
        <w:t>标准规范体系结构</w:t>
      </w:r>
      <w:bookmarkEnd w:id="150"/>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由于信息化领域相关标准缺乏，信息化建设依据较少，易形成数据信息孤岛，影响数据的复用性和互融互通性，阻碍产业化发展。资源开放共享程度低</w:t>
      </w:r>
      <w:r>
        <w:rPr>
          <w:rFonts w:hint="eastAsia" w:ascii="方正仿宋_GBK" w:hAnsi="方正仿宋_GBK"/>
          <w:snapToGrid w:val="0"/>
          <w:lang w:eastAsia="zh-CN"/>
        </w:rPr>
        <w:t>，</w:t>
      </w:r>
      <w:r>
        <w:rPr>
          <w:rFonts w:hint="eastAsia" w:ascii="方正仿宋_GBK" w:hAnsi="方正仿宋_GBK"/>
          <w:snapToGrid w:val="0"/>
        </w:rPr>
        <w:t>数据价值难以被有效挖掘利用。推动信息化建设关键在于建立健全标准和规范。</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标准规范体系架构中，分为总体标准、网络及通信标准、数据交换标准、信息资源标准、中间层标准、应用系统标准、信息安全标准和工程管理标准等八个大类。总体结构如下图所示：</w:t>
      </w:r>
    </w:p>
    <w:p>
      <w:pPr>
        <w:kinsoku/>
        <w:wordWrap/>
        <w:overflowPunct w:val="0"/>
        <w:topLinePunct w:val="0"/>
        <w:autoSpaceDE/>
        <w:autoSpaceDN/>
        <w:bidi w:val="0"/>
        <w:spacing w:line="560" w:lineRule="exact"/>
        <w:ind w:firstLine="0" w:firstLineChars="0"/>
        <w:jc w:val="center"/>
        <w:rPr>
          <w:rFonts w:ascii="方正仿宋_GBK" w:hAnsi="方正仿宋_GBK"/>
          <w:snapToGrid w:val="0"/>
        </w:rPr>
      </w:pPr>
      <w:r>
        <w:rPr>
          <w:rFonts w:hint="eastAsia" w:ascii="方正仿宋_GBK" w:hAnsi="方正仿宋_GBK"/>
          <w:snapToGrid w:val="0"/>
        </w:rPr>
        <w:drawing>
          <wp:inline distT="0" distB="0" distL="114300" distR="114300">
            <wp:extent cx="3314700" cy="2842260"/>
            <wp:effectExtent l="0" t="0" r="0" b="1524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7"/>
                    <a:stretch>
                      <a:fillRect/>
                    </a:stretch>
                  </pic:blipFill>
                  <pic:spPr>
                    <a:xfrm>
                      <a:off x="0" y="0"/>
                      <a:ext cx="3324825" cy="2851520"/>
                    </a:xfrm>
                    <a:prstGeom prst="rect">
                      <a:avLst/>
                    </a:prstGeom>
                  </pic:spPr>
                </pic:pic>
              </a:graphicData>
            </a:graphic>
          </wp:inline>
        </w:drawing>
      </w:r>
    </w:p>
    <w:p>
      <w:pPr>
        <w:numPr>
          <w:ilvl w:val="0"/>
          <w:numId w:val="10"/>
        </w:numPr>
        <w:tabs>
          <w:tab w:val="left" w:pos="0"/>
        </w:tabs>
        <w:kinsoku/>
        <w:wordWrap/>
        <w:topLinePunct w:val="0"/>
        <w:autoSpaceDE/>
        <w:autoSpaceDN/>
        <w:bidi w:val="0"/>
        <w:spacing w:before="198" w:beforeLines="50" w:after="397" w:afterLines="100" w:line="560" w:lineRule="exact"/>
        <w:ind w:firstLineChars="0"/>
        <w:jc w:val="center"/>
        <w:rPr>
          <w:rFonts w:ascii="方正仿宋_GBK" w:hAnsi="方正仿宋_GBK"/>
          <w:snapToGrid w:val="0"/>
          <w:spacing w:val="0"/>
        </w:rPr>
      </w:pPr>
      <w:r>
        <w:rPr>
          <w:rFonts w:hint="eastAsia" w:ascii="方正仿宋_GBK" w:hAnsi="方正仿宋_GBK"/>
          <w:snapToGrid w:val="0"/>
          <w:spacing w:val="0"/>
        </w:rPr>
        <w:t>标准规范体系结构图</w:t>
      </w:r>
    </w:p>
    <w:p>
      <w:pPr>
        <w:pStyle w:val="6"/>
        <w:kinsoku/>
        <w:wordWrap/>
        <w:topLinePunct w:val="0"/>
        <w:autoSpaceDE/>
        <w:autoSpaceDN/>
        <w:bidi w:val="0"/>
        <w:spacing w:before="198" w:after="198" w:line="560" w:lineRule="exact"/>
      </w:pPr>
      <w:bookmarkStart w:id="151" w:name="_Toc11344"/>
      <w:r>
        <w:rPr>
          <w:rFonts w:hint="eastAsia"/>
        </w:rPr>
        <w:t>标准体系中各分体系及其建设重点</w:t>
      </w:r>
      <w:bookmarkEnd w:id="151"/>
    </w:p>
    <w:p>
      <w:pPr>
        <w:pStyle w:val="7"/>
        <w:kinsoku/>
        <w:wordWrap/>
        <w:topLinePunct w:val="0"/>
        <w:autoSpaceDE/>
        <w:autoSpaceDN/>
        <w:bidi w:val="0"/>
        <w:spacing w:before="198" w:after="198" w:line="560" w:lineRule="exact"/>
        <w:rPr>
          <w:rFonts w:hint="default"/>
        </w:rPr>
      </w:pPr>
      <w:r>
        <w:t>总体标准</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总体标准包括本项目建设所需的总体性的标准与规范。从项目建设角度看，总体标准的建设内容是根据本项目建设总体方案，从框架性思路出发，制定本项目所涉及的基本术语、标准化指南、标准编写规则等方面的标准，以保证信息系统的建设项目高效、健康和稳定发展，减少重复投资和互不兼容。</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总体标准中重点建设的标准有以下三项：</w:t>
      </w:r>
    </w:p>
    <w:p>
      <w:pPr>
        <w:numPr>
          <w:ilvl w:val="0"/>
          <w:numId w:val="11"/>
        </w:numPr>
        <w:kinsoku/>
        <w:wordWrap/>
        <w:topLinePunct w:val="0"/>
        <w:autoSpaceDE/>
        <w:autoSpaceDN/>
        <w:bidi w:val="0"/>
        <w:spacing w:line="560" w:lineRule="exact"/>
        <w:ind w:firstLine="604"/>
        <w:jc w:val="both"/>
        <w:rPr>
          <w:rFonts w:ascii="方正仿宋_GBK" w:hAnsi="方正仿宋_GBK"/>
          <w:snapToGrid w:val="0"/>
          <w:kern w:val="2"/>
        </w:rPr>
      </w:pPr>
      <w:r>
        <w:rPr>
          <w:rFonts w:hint="eastAsia" w:ascii="方正仿宋_GBK" w:hAnsi="方正仿宋_GBK"/>
          <w:snapToGrid w:val="0"/>
          <w:kern w:val="2"/>
        </w:rPr>
        <w:t>术语</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术语，是本项目建设过程中所使用以及形成的基本概念的语言指称。对这些概念进行正确的语言指代，并将其内涵定义和外延定义清晰描述出来，是本项目要解决的基本问题。</w:t>
      </w:r>
    </w:p>
    <w:p>
      <w:pPr>
        <w:numPr>
          <w:ilvl w:val="0"/>
          <w:numId w:val="11"/>
        </w:numPr>
        <w:kinsoku/>
        <w:wordWrap/>
        <w:topLinePunct w:val="0"/>
        <w:autoSpaceDE/>
        <w:autoSpaceDN/>
        <w:bidi w:val="0"/>
        <w:spacing w:line="560" w:lineRule="exact"/>
        <w:ind w:firstLine="604"/>
        <w:jc w:val="both"/>
        <w:rPr>
          <w:rFonts w:ascii="方正仿宋_GBK" w:hAnsi="方正仿宋_GBK"/>
          <w:snapToGrid w:val="0"/>
          <w:kern w:val="2"/>
        </w:rPr>
      </w:pPr>
      <w:r>
        <w:rPr>
          <w:rFonts w:hint="eastAsia" w:ascii="方正仿宋_GBK" w:hAnsi="方正仿宋_GBK"/>
          <w:snapToGrid w:val="0"/>
          <w:kern w:val="2"/>
        </w:rPr>
        <w:t>标准化指南</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标准化指南，是根据本项目标准体系框架及其所涉及的标准化对象和内容，按照一定的主题和逻辑结构系统阐述所涉及的各标准的主要内容，其在整个本项目标准化解决方案中的作用、如何使用或选用、如何在此基础上结合实际进行发展和完善等内容的指南性文件。本项目标准化指南对推动和促进本项目在标准化、规范化的道路上健康发展，应具有极为重要的指导作用。</w:t>
      </w:r>
    </w:p>
    <w:p>
      <w:pPr>
        <w:numPr>
          <w:ilvl w:val="0"/>
          <w:numId w:val="11"/>
        </w:numPr>
        <w:kinsoku/>
        <w:wordWrap/>
        <w:topLinePunct w:val="0"/>
        <w:autoSpaceDE/>
        <w:autoSpaceDN/>
        <w:bidi w:val="0"/>
        <w:spacing w:line="560" w:lineRule="exact"/>
        <w:ind w:firstLine="604"/>
        <w:jc w:val="both"/>
        <w:rPr>
          <w:rFonts w:ascii="方正仿宋_GBK" w:hAnsi="方正仿宋_GBK"/>
          <w:snapToGrid w:val="0"/>
          <w:kern w:val="2"/>
        </w:rPr>
      </w:pPr>
      <w:r>
        <w:rPr>
          <w:rFonts w:hint="eastAsia" w:ascii="方正仿宋_GBK" w:hAnsi="方正仿宋_GBK"/>
          <w:snapToGrid w:val="0"/>
          <w:kern w:val="2"/>
        </w:rPr>
        <w:t>标准编写规则</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标准编写规则应给出标准的结构和编写标准的基本要求，规定标准要素的编写规则、标准条文的编写规则、标准的编排格式以及标准的出版格式，对于本项目标准乃至整个行业标准的编写、审查、出版和管理具有直接的指导作用。</w:t>
      </w:r>
    </w:p>
    <w:p>
      <w:pPr>
        <w:pStyle w:val="7"/>
        <w:kinsoku/>
        <w:wordWrap/>
        <w:topLinePunct w:val="0"/>
        <w:autoSpaceDE/>
        <w:autoSpaceDN/>
        <w:bidi w:val="0"/>
        <w:spacing w:before="198" w:after="198" w:line="560" w:lineRule="exact"/>
        <w:rPr>
          <w:rFonts w:hint="default"/>
        </w:rPr>
      </w:pPr>
      <w:r>
        <w:t>网络及通信标准</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总体网络及通信标准的建设内容是根据本项目建设总体方案，从框架性思路出发，制定本项目所涉及的基本术语、标准化指南、标准编写规则等方面的标准，以保证信息系统的建设项目高效、健康和稳定发展，减少重复投资和互不兼容。</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网络及通信相关标准规范如下：</w:t>
      </w:r>
    </w:p>
    <w:p>
      <w:pPr>
        <w:numPr>
          <w:ilvl w:val="0"/>
          <w:numId w:val="12"/>
        </w:numPr>
        <w:kinsoku/>
        <w:wordWrap/>
        <w:topLinePunct w:val="0"/>
        <w:autoSpaceDE/>
        <w:autoSpaceDN/>
        <w:bidi w:val="0"/>
        <w:spacing w:line="560" w:lineRule="exact"/>
        <w:ind w:firstLine="604"/>
        <w:jc w:val="both"/>
        <w:rPr>
          <w:rFonts w:ascii="方正仿宋_GBK" w:hAnsi="方正仿宋_GBK"/>
          <w:snapToGrid w:val="0"/>
          <w:kern w:val="2"/>
        </w:rPr>
      </w:pPr>
      <w:r>
        <w:rPr>
          <w:rFonts w:hint="eastAsia" w:ascii="方正仿宋_GBK" w:hAnsi="方正仿宋_GBK"/>
          <w:snapToGrid w:val="0"/>
          <w:kern w:val="2"/>
        </w:rPr>
        <w:t>网络基础设施标准：包括网络结构、IP地址划分、子网划分、VLAN划分、路由策略、网络管理、网络安全策略等相关规范。保证各系统间的兼容性以及易于管理性。</w:t>
      </w:r>
    </w:p>
    <w:p>
      <w:pPr>
        <w:numPr>
          <w:ilvl w:val="0"/>
          <w:numId w:val="12"/>
        </w:num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kern w:val="2"/>
        </w:rPr>
        <w:t>网络运行</w:t>
      </w:r>
      <w:r>
        <w:rPr>
          <w:rFonts w:hint="eastAsia" w:ascii="方正仿宋_GBK" w:hAnsi="方正仿宋_GBK"/>
          <w:snapToGrid w:val="0"/>
        </w:rPr>
        <w:t>标准</w:t>
      </w:r>
      <w:r>
        <w:rPr>
          <w:rFonts w:hint="eastAsia" w:ascii="方正仿宋_GBK" w:hAnsi="方正仿宋_GBK"/>
          <w:snapToGrid w:val="0"/>
          <w:kern w:val="2"/>
        </w:rPr>
        <w:t>：包括网络拓扑管理、流量管理、故障管理、配置管理、性能管理、资产管理等方面的标准规范。</w:t>
      </w:r>
    </w:p>
    <w:p>
      <w:pPr>
        <w:pStyle w:val="7"/>
        <w:kinsoku/>
        <w:wordWrap/>
        <w:topLinePunct w:val="0"/>
        <w:autoSpaceDE/>
        <w:autoSpaceDN/>
        <w:bidi w:val="0"/>
        <w:spacing w:before="198" w:after="198" w:line="560" w:lineRule="exact"/>
        <w:rPr>
          <w:rFonts w:hint="default"/>
        </w:rPr>
      </w:pPr>
      <w:r>
        <w:t>数据交换标准</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数据交换格式标准指信息化建设中所涉及的</w:t>
      </w:r>
      <w:r>
        <w:rPr>
          <w:rFonts w:hint="eastAsia" w:ascii="方正仿宋_GBK" w:hAnsi="方正仿宋_GBK"/>
          <w:snapToGrid w:val="0"/>
          <w:lang w:val="en-US" w:eastAsia="zh-CN"/>
        </w:rPr>
        <w:t>集团公司与下属企业</w:t>
      </w:r>
      <w:r>
        <w:rPr>
          <w:rFonts w:hint="eastAsia" w:ascii="方正仿宋_GBK" w:hAnsi="方正仿宋_GBK"/>
          <w:snapToGrid w:val="0"/>
        </w:rPr>
        <w:t>、各部门之间以及与</w:t>
      </w:r>
      <w:r>
        <w:rPr>
          <w:rFonts w:hint="eastAsia" w:ascii="方正仿宋_GBK" w:hAnsi="方正仿宋_GBK"/>
          <w:snapToGrid w:val="0"/>
          <w:lang w:val="en-US" w:eastAsia="zh-CN"/>
        </w:rPr>
        <w:t>市国资委</w:t>
      </w:r>
      <w:r>
        <w:rPr>
          <w:rFonts w:hint="eastAsia" w:ascii="方正仿宋_GBK" w:hAnsi="方正仿宋_GBK"/>
          <w:snapToGrid w:val="0"/>
        </w:rPr>
        <w:t>之间</w:t>
      </w:r>
      <w:r>
        <w:rPr>
          <w:rFonts w:hint="eastAsia" w:ascii="方正仿宋_GBK" w:hAnsi="方正仿宋_GBK"/>
          <w:snapToGrid w:val="0"/>
          <w:lang w:val="en-US" w:eastAsia="zh-CN"/>
        </w:rPr>
        <w:t>等</w:t>
      </w:r>
      <w:r>
        <w:rPr>
          <w:rFonts w:hint="eastAsia" w:ascii="方正仿宋_GBK" w:hAnsi="方正仿宋_GBK"/>
          <w:snapToGrid w:val="0"/>
        </w:rPr>
        <w:t>以网络为媒介进行交换的数据格式。主要内容包括：系统内数据交换格式系列标准、与其他业务系统数据交换格式系列标准等。该部分以</w:t>
      </w:r>
      <w:r>
        <w:rPr>
          <w:rFonts w:hint="eastAsia" w:ascii="方正仿宋_GBK" w:hAnsi="方正仿宋_GBK"/>
          <w:snapToGrid w:val="0"/>
          <w:lang w:val="en-US" w:eastAsia="zh-CN"/>
        </w:rPr>
        <w:t>遵循引用国务院国资委或重庆市国资委相关数据</w:t>
      </w:r>
      <w:r>
        <w:rPr>
          <w:rFonts w:hint="eastAsia" w:ascii="方正仿宋_GBK" w:hAnsi="方正仿宋_GBK"/>
          <w:snapToGrid w:val="0"/>
        </w:rPr>
        <w:t>标准为主，同时根据实际业务自主</w:t>
      </w:r>
      <w:r>
        <w:rPr>
          <w:rFonts w:hint="eastAsia" w:ascii="方正仿宋_GBK" w:hAnsi="方正仿宋_GBK"/>
          <w:snapToGrid w:val="0"/>
          <w:lang w:val="en-US" w:eastAsia="zh-CN"/>
        </w:rPr>
        <w:t>制定</w:t>
      </w:r>
      <w:r>
        <w:rPr>
          <w:rFonts w:hint="eastAsia" w:ascii="方正仿宋_GBK" w:hAnsi="方正仿宋_GBK"/>
          <w:snapToGrid w:val="0"/>
        </w:rPr>
        <w:t>部分标准。</w:t>
      </w:r>
    </w:p>
    <w:p>
      <w:pPr>
        <w:pStyle w:val="7"/>
        <w:kinsoku/>
        <w:wordWrap/>
        <w:topLinePunct w:val="0"/>
        <w:autoSpaceDE/>
        <w:autoSpaceDN/>
        <w:bidi w:val="0"/>
        <w:spacing w:before="198" w:after="198" w:line="560" w:lineRule="exact"/>
        <w:rPr>
          <w:rFonts w:hint="default"/>
        </w:rPr>
      </w:pPr>
      <w:r>
        <w:t>信息资源标准</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信息资源标准包括本项目建设所需的面向所有信息资源开发利用和共享的数据标准与规范，包括信息分类与代码、元数据、数据字典等标准。</w:t>
      </w:r>
      <w:r>
        <w:rPr>
          <w:rFonts w:hint="eastAsia" w:ascii="方正仿宋_GBK" w:hAnsi="方正仿宋_GBK"/>
          <w:snapToGrid w:val="0"/>
          <w:lang w:val="en-US" w:eastAsia="zh-CN"/>
        </w:rPr>
        <w:t>本次需制定</w:t>
      </w:r>
      <w:r>
        <w:rPr>
          <w:rFonts w:hint="eastAsia" w:ascii="方正仿宋_GBK" w:hAnsi="方正仿宋_GBK"/>
          <w:snapToGrid w:val="0"/>
        </w:rPr>
        <w:t>信息资源标准中重点建设的标准有以下三项：</w:t>
      </w:r>
    </w:p>
    <w:p>
      <w:pPr>
        <w:numPr>
          <w:ilvl w:val="0"/>
          <w:numId w:val="13"/>
        </w:numPr>
        <w:kinsoku/>
        <w:wordWrap/>
        <w:topLinePunct w:val="0"/>
        <w:autoSpaceDE/>
        <w:autoSpaceDN/>
        <w:bidi w:val="0"/>
        <w:spacing w:line="560" w:lineRule="exact"/>
        <w:ind w:firstLine="604"/>
        <w:jc w:val="both"/>
        <w:rPr>
          <w:rFonts w:ascii="方正仿宋_GBK" w:hAnsi="方正仿宋_GBK"/>
          <w:snapToGrid w:val="0"/>
          <w:kern w:val="2"/>
        </w:rPr>
      </w:pPr>
      <w:r>
        <w:rPr>
          <w:rFonts w:hint="eastAsia" w:ascii="方正仿宋_GBK" w:hAnsi="方正仿宋_GBK"/>
          <w:snapToGrid w:val="0"/>
          <w:kern w:val="2"/>
        </w:rPr>
        <w:t>信息分类与代码标准</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信息分类编码标准化是实现信息处理、信息交换和信息资源共享的重要前提，是信息标准化工作的重要组成部分。应根据业务和管理的需求，</w:t>
      </w:r>
      <w:r>
        <w:rPr>
          <w:rFonts w:hint="eastAsia" w:ascii="方正仿宋_GBK" w:hAnsi="方正仿宋_GBK"/>
          <w:snapToGrid w:val="0"/>
          <w:lang w:eastAsia="zh-CN"/>
        </w:rPr>
        <w:t>科学合理地进行</w:t>
      </w:r>
      <w:r>
        <w:rPr>
          <w:rFonts w:hint="eastAsia" w:ascii="方正仿宋_GBK" w:hAnsi="方正仿宋_GBK"/>
          <w:snapToGrid w:val="0"/>
        </w:rPr>
        <w:t>信息分类，并在分类的基础上，赋予标准代码，以便被本次建设的信息系统以及以后建设的信息系统采纳和使用。</w:t>
      </w:r>
    </w:p>
    <w:p>
      <w:pPr>
        <w:numPr>
          <w:ilvl w:val="0"/>
          <w:numId w:val="13"/>
        </w:numPr>
        <w:kinsoku/>
        <w:wordWrap/>
        <w:topLinePunct w:val="0"/>
        <w:autoSpaceDE/>
        <w:autoSpaceDN/>
        <w:bidi w:val="0"/>
        <w:spacing w:line="560" w:lineRule="exact"/>
        <w:ind w:firstLine="604"/>
        <w:jc w:val="both"/>
        <w:rPr>
          <w:rFonts w:ascii="方正仿宋_GBK" w:hAnsi="方正仿宋_GBK"/>
          <w:snapToGrid w:val="0"/>
          <w:kern w:val="2"/>
        </w:rPr>
      </w:pPr>
      <w:r>
        <w:rPr>
          <w:rFonts w:hint="eastAsia" w:ascii="方正仿宋_GBK" w:hAnsi="方正仿宋_GBK"/>
          <w:snapToGrid w:val="0"/>
          <w:kern w:val="2"/>
        </w:rPr>
        <w:t>元数据标准</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元数据是描述数据的数据，即描述元数据元素的基本内容和属性。在信息系统中，无论是数据库应用还是未来数据仓库的应用，都离不开元数据，特别是将多个应用系统建立在同一的平台上，便于各应用系统方便调用彼此数据时，建立元数据标准就显得非常重要。</w:t>
      </w:r>
    </w:p>
    <w:p>
      <w:pPr>
        <w:numPr>
          <w:ilvl w:val="0"/>
          <w:numId w:val="13"/>
        </w:numPr>
        <w:kinsoku/>
        <w:wordWrap/>
        <w:topLinePunct w:val="0"/>
        <w:autoSpaceDE/>
        <w:autoSpaceDN/>
        <w:bidi w:val="0"/>
        <w:spacing w:line="560" w:lineRule="exact"/>
        <w:ind w:firstLine="604"/>
        <w:jc w:val="both"/>
        <w:rPr>
          <w:rFonts w:ascii="方正仿宋_GBK" w:hAnsi="方正仿宋_GBK"/>
          <w:snapToGrid w:val="0"/>
          <w:kern w:val="2"/>
        </w:rPr>
      </w:pPr>
      <w:r>
        <w:rPr>
          <w:rFonts w:hint="eastAsia" w:ascii="方正仿宋_GBK" w:hAnsi="方正仿宋_GBK"/>
          <w:snapToGrid w:val="0"/>
          <w:kern w:val="2"/>
        </w:rPr>
        <w:t>数据字典</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数据字典是描述数据流，数据存储，数据项、加工和外部项等给予的定义和说明，数据字典提供对数据的明确定义。由于一些公用数据如企业名称、地名等会在不同的系统中被使用，需要在不同的系统中对相同的数据采用唯一的数据定义，为此需要对数据字典进行规范。</w:t>
      </w:r>
    </w:p>
    <w:p>
      <w:pPr>
        <w:pStyle w:val="7"/>
        <w:kinsoku/>
        <w:wordWrap/>
        <w:topLinePunct w:val="0"/>
        <w:autoSpaceDE/>
        <w:autoSpaceDN/>
        <w:bidi w:val="0"/>
        <w:spacing w:before="198" w:after="198" w:line="560" w:lineRule="exact"/>
        <w:rPr>
          <w:rFonts w:hint="default"/>
        </w:rPr>
      </w:pPr>
      <w:r>
        <w:t>中间层标准</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中间层标准体系通过制定统一接入认证、可信信息交换、可信应用传输以及系统间的接口规范，为本项目各应用系统提供安全服务和可信应用环境，实现安全互联互通和安全信息共享。其主要内容包括中间层通用技术要求、消息服务规范、消息服务接口规范、数据交换接口规范等。该体系以采用现有相关国际标准和国家标准为主。</w:t>
      </w:r>
    </w:p>
    <w:p>
      <w:pPr>
        <w:pStyle w:val="7"/>
        <w:kinsoku/>
        <w:wordWrap/>
        <w:topLinePunct w:val="0"/>
        <w:autoSpaceDE/>
        <w:autoSpaceDN/>
        <w:bidi w:val="0"/>
        <w:spacing w:before="198" w:after="198" w:line="560" w:lineRule="exact"/>
        <w:rPr>
          <w:rFonts w:hint="default"/>
        </w:rPr>
      </w:pPr>
      <w:r>
        <w:t>应用系统标准</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应用系统标准是针对具体应用系统开发的专用标准，其目的是规范系统的开发与建设工作，以便于不同系统在信息、流程、交换接口等多方面进行整合与集成，开展系统验收、标准符合性检测和认证等</w:t>
      </w:r>
      <w:r>
        <w:rPr>
          <w:rFonts w:hint="eastAsia" w:ascii="方正仿宋_GBK" w:hAnsi="方正仿宋_GBK"/>
          <w:snapToGrid w:val="0"/>
          <w:lang w:eastAsia="zh-CN"/>
        </w:rPr>
        <w:t>，</w:t>
      </w:r>
      <w:r>
        <w:rPr>
          <w:rFonts w:hint="eastAsia" w:ascii="方正仿宋_GBK" w:hAnsi="方正仿宋_GBK"/>
          <w:snapToGrid w:val="0"/>
          <w:lang w:val="en-US" w:eastAsia="zh-CN"/>
        </w:rPr>
        <w:t>为数智化管控系统二期建设打下基础</w:t>
      </w:r>
      <w:r>
        <w:rPr>
          <w:rFonts w:hint="eastAsia" w:ascii="方正仿宋_GBK" w:hAnsi="方正仿宋_GBK"/>
          <w:snapToGrid w:val="0"/>
        </w:rPr>
        <w:t>。该类标准通常涉及应用系统的基本构架、软硬件要求、基本功能要求、基本数据要求、基本的数据交换格式要求、基本的业务流程要求等。</w:t>
      </w:r>
      <w:r>
        <w:rPr>
          <w:rFonts w:hint="eastAsia" w:ascii="方正仿宋_GBK" w:hAnsi="方正仿宋_GBK"/>
          <w:snapToGrid w:val="0"/>
          <w:lang w:val="en-US" w:eastAsia="zh-CN"/>
        </w:rPr>
        <w:t>本次</w:t>
      </w:r>
      <w:r>
        <w:rPr>
          <w:rFonts w:hint="eastAsia" w:ascii="方正仿宋_GBK" w:hAnsi="方正仿宋_GBK"/>
          <w:snapToGrid w:val="0"/>
        </w:rPr>
        <w:t>应用系统标准重点建设的标准如下。</w:t>
      </w:r>
    </w:p>
    <w:p>
      <w:pPr>
        <w:numPr>
          <w:ilvl w:val="0"/>
          <w:numId w:val="14"/>
        </w:numPr>
        <w:kinsoku/>
        <w:wordWrap/>
        <w:topLinePunct w:val="0"/>
        <w:autoSpaceDE/>
        <w:autoSpaceDN/>
        <w:bidi w:val="0"/>
        <w:spacing w:line="560" w:lineRule="exact"/>
        <w:ind w:firstLine="604"/>
        <w:jc w:val="both"/>
        <w:rPr>
          <w:rFonts w:ascii="方正仿宋_GBK" w:hAnsi="方正仿宋_GBK"/>
          <w:snapToGrid w:val="0"/>
          <w:kern w:val="2"/>
        </w:rPr>
      </w:pPr>
      <w:r>
        <w:rPr>
          <w:rFonts w:hint="eastAsia" w:ascii="方正仿宋_GBK" w:hAnsi="方正仿宋_GBK"/>
          <w:snapToGrid w:val="0"/>
          <w:kern w:val="2"/>
        </w:rPr>
        <w:t>计算机系统软硬件选型规范</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制定本标准的主要目的是为了引导和规范计算机应用系统的软硬件环境搭建、选型、配置和采购，以更好地促进和保障软硬件设施的集成和共享。本标准包括操作系统、数据库、服务器、存储设备、网络设备、前台设备等方面的选型规范。</w:t>
      </w:r>
    </w:p>
    <w:p>
      <w:pPr>
        <w:numPr>
          <w:ilvl w:val="0"/>
          <w:numId w:val="14"/>
        </w:numPr>
        <w:kinsoku/>
        <w:wordWrap/>
        <w:topLinePunct w:val="0"/>
        <w:autoSpaceDE/>
        <w:autoSpaceDN/>
        <w:bidi w:val="0"/>
        <w:spacing w:line="560" w:lineRule="exact"/>
        <w:ind w:firstLine="604"/>
        <w:jc w:val="both"/>
        <w:rPr>
          <w:rFonts w:ascii="方正仿宋_GBK" w:hAnsi="方正仿宋_GBK"/>
          <w:snapToGrid w:val="0"/>
          <w:kern w:val="2"/>
        </w:rPr>
      </w:pPr>
      <w:r>
        <w:rPr>
          <w:rFonts w:hint="eastAsia" w:ascii="方正仿宋_GBK" w:hAnsi="方正仿宋_GBK"/>
          <w:snapToGrid w:val="0"/>
          <w:kern w:val="2"/>
        </w:rPr>
        <w:t>软件开发规范</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为了进一步提高系统开发的质量和水平，为软件开发管理过程提供指导和业务系统能够更好地服务于政府的发展需求。需遵循以下开发规范：</w:t>
      </w:r>
    </w:p>
    <w:p>
      <w:pPr>
        <w:numPr>
          <w:ilvl w:val="0"/>
          <w:numId w:val="15"/>
        </w:numPr>
        <w:tabs>
          <w:tab w:val="left" w:pos="1000"/>
          <w:tab w:val="left" w:pos="1040"/>
        </w:tabs>
        <w:kinsoku/>
        <w:wordWrap/>
        <w:topLinePunct w:val="0"/>
        <w:autoSpaceDE/>
        <w:autoSpaceDN/>
        <w:bidi w:val="0"/>
        <w:spacing w:line="560" w:lineRule="exact"/>
        <w:ind w:left="604" w:leftChars="200" w:firstLine="0" w:firstLineChars="0"/>
        <w:jc w:val="both"/>
        <w:textAlignment w:val="baseline"/>
        <w:rPr>
          <w:rFonts w:ascii="方正仿宋_GBK" w:hAnsi="方正仿宋_GBK"/>
          <w:snapToGrid w:val="0"/>
          <w:spacing w:val="10"/>
          <w:kern w:val="2"/>
        </w:rPr>
      </w:pPr>
      <w:r>
        <w:rPr>
          <w:rFonts w:hint="eastAsia" w:ascii="方正仿宋_GBK" w:hAnsi="方正仿宋_GBK"/>
          <w:snapToGrid w:val="0"/>
          <w:spacing w:val="10"/>
          <w:kern w:val="2"/>
        </w:rPr>
        <w:t>《计算机软件文档编制规范》</w:t>
      </w:r>
      <w:r>
        <w:rPr>
          <w:rFonts w:hint="eastAsia" w:ascii="方正仿宋_GBK" w:hAnsi="方正仿宋_GBK"/>
          <w:snapToGrid w:val="0"/>
          <w:spacing w:val="10"/>
          <w:kern w:val="2"/>
          <w:lang w:eastAsia="zh-CN"/>
        </w:rPr>
        <w:t>（</w:t>
      </w:r>
      <w:r>
        <w:rPr>
          <w:rFonts w:hint="eastAsia" w:ascii="方正仿宋_GBK" w:hAnsi="方正仿宋_GBK"/>
          <w:snapToGrid w:val="0"/>
          <w:spacing w:val="10"/>
          <w:kern w:val="2"/>
        </w:rPr>
        <w:t>GB/T 8567-2006）；</w:t>
      </w:r>
    </w:p>
    <w:p>
      <w:pPr>
        <w:numPr>
          <w:ilvl w:val="0"/>
          <w:numId w:val="15"/>
        </w:numPr>
        <w:tabs>
          <w:tab w:val="left" w:pos="1000"/>
          <w:tab w:val="left" w:pos="1040"/>
        </w:tabs>
        <w:kinsoku/>
        <w:wordWrap/>
        <w:topLinePunct w:val="0"/>
        <w:autoSpaceDE/>
        <w:autoSpaceDN/>
        <w:bidi w:val="0"/>
        <w:spacing w:line="560" w:lineRule="exact"/>
        <w:ind w:left="604" w:leftChars="200" w:firstLine="0" w:firstLineChars="0"/>
        <w:jc w:val="both"/>
        <w:textAlignment w:val="baseline"/>
        <w:rPr>
          <w:rFonts w:ascii="方正仿宋_GBK" w:hAnsi="方正仿宋_GBK"/>
          <w:snapToGrid w:val="0"/>
          <w:spacing w:val="10"/>
          <w:kern w:val="2"/>
        </w:rPr>
      </w:pPr>
      <w:r>
        <w:rPr>
          <w:rFonts w:hint="eastAsia" w:ascii="方正仿宋_GBK" w:hAnsi="方正仿宋_GBK"/>
          <w:snapToGrid w:val="0"/>
          <w:spacing w:val="10"/>
          <w:kern w:val="2"/>
        </w:rPr>
        <w:t>《信息技术开放系统互联高层安全模型》（GB/T 17965-2000）；</w:t>
      </w:r>
    </w:p>
    <w:p>
      <w:pPr>
        <w:numPr>
          <w:ilvl w:val="0"/>
          <w:numId w:val="15"/>
        </w:numPr>
        <w:tabs>
          <w:tab w:val="left" w:pos="1000"/>
          <w:tab w:val="left" w:pos="1040"/>
        </w:tabs>
        <w:kinsoku/>
        <w:wordWrap/>
        <w:topLinePunct w:val="0"/>
        <w:autoSpaceDE/>
        <w:autoSpaceDN/>
        <w:bidi w:val="0"/>
        <w:spacing w:line="560" w:lineRule="exact"/>
        <w:ind w:left="604" w:leftChars="200" w:firstLine="0" w:firstLineChars="0"/>
        <w:jc w:val="both"/>
        <w:textAlignment w:val="baseline"/>
        <w:rPr>
          <w:rFonts w:ascii="方正仿宋_GBK" w:hAnsi="方正仿宋_GBK"/>
          <w:snapToGrid w:val="0"/>
          <w:spacing w:val="10"/>
          <w:kern w:val="2"/>
        </w:rPr>
      </w:pPr>
      <w:r>
        <w:rPr>
          <w:rFonts w:hint="eastAsia" w:ascii="方正仿宋_GBK" w:hAnsi="方正仿宋_GBK"/>
          <w:snapToGrid w:val="0"/>
          <w:spacing w:val="10"/>
          <w:kern w:val="2"/>
        </w:rPr>
        <w:t>《信息技术开放系统互联网络层安全协议》（GB/T 17963）；</w:t>
      </w:r>
    </w:p>
    <w:p>
      <w:pPr>
        <w:numPr>
          <w:ilvl w:val="0"/>
          <w:numId w:val="15"/>
        </w:numPr>
        <w:tabs>
          <w:tab w:val="left" w:pos="1000"/>
          <w:tab w:val="left" w:pos="1040"/>
        </w:tabs>
        <w:kinsoku/>
        <w:wordWrap/>
        <w:topLinePunct w:val="0"/>
        <w:autoSpaceDE/>
        <w:autoSpaceDN/>
        <w:bidi w:val="0"/>
        <w:spacing w:line="560" w:lineRule="exact"/>
        <w:ind w:left="604" w:leftChars="200" w:firstLine="0" w:firstLineChars="0"/>
        <w:jc w:val="both"/>
        <w:textAlignment w:val="baseline"/>
        <w:rPr>
          <w:rFonts w:ascii="方正仿宋_GBK" w:hAnsi="方正仿宋_GBK"/>
          <w:snapToGrid w:val="0"/>
          <w:spacing w:val="10"/>
          <w:kern w:val="2"/>
        </w:rPr>
      </w:pPr>
      <w:r>
        <w:rPr>
          <w:rFonts w:hint="eastAsia" w:ascii="方正仿宋_GBK" w:hAnsi="方正仿宋_GBK"/>
          <w:snapToGrid w:val="0"/>
          <w:spacing w:val="10"/>
          <w:kern w:val="2"/>
        </w:rPr>
        <w:t>《信息技术 软件工程术语》（GB/T 11457-2006）。</w:t>
      </w:r>
    </w:p>
    <w:p>
      <w:pPr>
        <w:pStyle w:val="7"/>
        <w:kinsoku/>
        <w:wordWrap/>
        <w:topLinePunct w:val="0"/>
        <w:autoSpaceDE/>
        <w:autoSpaceDN/>
        <w:bidi w:val="0"/>
        <w:spacing w:before="198" w:after="198" w:line="560" w:lineRule="exact"/>
        <w:rPr>
          <w:rFonts w:hint="default"/>
        </w:rPr>
      </w:pPr>
      <w:r>
        <w:t>信息安全标准</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按照《网络安全等级保护基本要求》三级标准要求，参照《信息安全技术 信息系统安全管理要求》(GB/T 20269-2006)、《信息安全技术信息系统安全工程管理要求》(GB/T 20282-2006)等管理规范，结合集团系统等保级别实际需求制定相关标准，应包含物理安全、网络安全、主机安全、数据安全、应用安全、管理安全，并重点强调以下内容：</w:t>
      </w:r>
    </w:p>
    <w:p>
      <w:pPr>
        <w:numPr>
          <w:ilvl w:val="0"/>
          <w:numId w:val="16"/>
        </w:numPr>
        <w:kinsoku/>
        <w:wordWrap/>
        <w:topLinePunct w:val="0"/>
        <w:autoSpaceDE/>
        <w:autoSpaceDN/>
        <w:bidi w:val="0"/>
        <w:spacing w:line="560" w:lineRule="exact"/>
        <w:ind w:firstLine="604"/>
        <w:jc w:val="both"/>
        <w:rPr>
          <w:rFonts w:ascii="方正仿宋_GBK" w:hAnsi="方正仿宋_GBK"/>
          <w:snapToGrid w:val="0"/>
          <w:kern w:val="2"/>
        </w:rPr>
      </w:pPr>
      <w:r>
        <w:rPr>
          <w:rFonts w:hint="eastAsia" w:ascii="方正仿宋_GBK" w:hAnsi="方正仿宋_GBK"/>
          <w:snapToGrid w:val="0"/>
          <w:kern w:val="2"/>
        </w:rPr>
        <w:t>保证各信息系统安全、可靠、稳定地运行。主要是从系统物理环境、系统运行、安全管理和维护等角度来保证系统的可用性。</w:t>
      </w:r>
    </w:p>
    <w:p>
      <w:pPr>
        <w:numPr>
          <w:ilvl w:val="0"/>
          <w:numId w:val="16"/>
        </w:numPr>
        <w:kinsoku/>
        <w:wordWrap/>
        <w:topLinePunct w:val="0"/>
        <w:autoSpaceDE/>
        <w:autoSpaceDN/>
        <w:bidi w:val="0"/>
        <w:spacing w:line="560" w:lineRule="exact"/>
        <w:ind w:firstLine="604"/>
        <w:jc w:val="both"/>
        <w:rPr>
          <w:rFonts w:ascii="方正仿宋_GBK" w:hAnsi="方正仿宋_GBK"/>
          <w:snapToGrid w:val="0"/>
          <w:kern w:val="2"/>
        </w:rPr>
      </w:pPr>
      <w:r>
        <w:rPr>
          <w:rFonts w:hint="eastAsia" w:ascii="方正仿宋_GBK" w:hAnsi="方正仿宋_GBK"/>
          <w:snapToGrid w:val="0"/>
          <w:kern w:val="2"/>
        </w:rPr>
        <w:t>保证信息化系统中的信息安全。主要是确保信息在网络系统中产生、传输、处理和存储全过程中的完整性、可用性和抗抵赖性。</w:t>
      </w:r>
    </w:p>
    <w:p>
      <w:pPr>
        <w:numPr>
          <w:ilvl w:val="0"/>
          <w:numId w:val="16"/>
        </w:numPr>
        <w:kinsoku/>
        <w:wordWrap/>
        <w:topLinePunct w:val="0"/>
        <w:autoSpaceDE/>
        <w:autoSpaceDN/>
        <w:bidi w:val="0"/>
        <w:spacing w:line="560" w:lineRule="exact"/>
        <w:ind w:firstLine="604"/>
        <w:jc w:val="both"/>
        <w:rPr>
          <w:rFonts w:ascii="方正仿宋_GBK" w:hAnsi="方正仿宋_GBK"/>
          <w:snapToGrid w:val="0"/>
          <w:kern w:val="2"/>
        </w:rPr>
      </w:pPr>
      <w:r>
        <w:rPr>
          <w:rFonts w:hint="eastAsia" w:ascii="方正仿宋_GBK" w:hAnsi="方正仿宋_GBK"/>
          <w:snapToGrid w:val="0"/>
          <w:kern w:val="2"/>
        </w:rPr>
        <w:t>保证与其他各业务信息系统之间传输安全。通过可信安全传输交换体系的建立和安全域管理，实现网络与系统应用之间、各应用系统之间信息可信交换和安全传输。</w:t>
      </w:r>
    </w:p>
    <w:p>
      <w:pPr>
        <w:kinsoku/>
        <w:wordWrap/>
        <w:topLinePunct w:val="0"/>
        <w:autoSpaceDE/>
        <w:autoSpaceDN/>
        <w:bidi w:val="0"/>
        <w:spacing w:line="560" w:lineRule="exact"/>
        <w:ind w:firstLine="604"/>
        <w:jc w:val="both"/>
        <w:rPr>
          <w:rFonts w:ascii="方正仿宋_GBK" w:hAnsi="方正仿宋_GBK"/>
          <w:kern w:val="2"/>
        </w:rPr>
      </w:pPr>
      <w:r>
        <w:rPr>
          <w:rFonts w:hint="eastAsia" w:ascii="方正仿宋_GBK" w:hAnsi="方正仿宋_GBK"/>
          <w:kern w:val="2"/>
        </w:rPr>
        <w:t>遵循</w:t>
      </w:r>
      <w:r>
        <w:rPr>
          <w:rFonts w:hint="eastAsia" w:ascii="方正仿宋_GBK" w:hAnsi="方正仿宋_GBK"/>
          <w:kern w:val="2"/>
          <w:lang w:eastAsia="zh-CN"/>
        </w:rPr>
        <w:t>、</w:t>
      </w:r>
      <w:r>
        <w:rPr>
          <w:rFonts w:hint="eastAsia" w:ascii="方正仿宋_GBK" w:hAnsi="方正仿宋_GBK"/>
          <w:kern w:val="2"/>
          <w:lang w:val="en-US" w:eastAsia="zh-CN"/>
        </w:rPr>
        <w:t>参照</w:t>
      </w:r>
      <w:r>
        <w:rPr>
          <w:rFonts w:hint="eastAsia" w:ascii="方正仿宋_GBK" w:hAnsi="方正仿宋_GBK"/>
          <w:kern w:val="2"/>
        </w:rPr>
        <w:t>的标准规范如下：</w:t>
      </w:r>
    </w:p>
    <w:p>
      <w:pPr>
        <w:numPr>
          <w:ilvl w:val="0"/>
          <w:numId w:val="17"/>
        </w:numPr>
        <w:tabs>
          <w:tab w:val="left" w:pos="1000"/>
          <w:tab w:val="left" w:pos="1040"/>
        </w:tabs>
        <w:kinsoku/>
        <w:wordWrap/>
        <w:topLinePunct w:val="0"/>
        <w:autoSpaceDE/>
        <w:autoSpaceDN/>
        <w:bidi w:val="0"/>
        <w:spacing w:line="560" w:lineRule="exact"/>
        <w:ind w:left="604" w:leftChars="200" w:firstLine="0" w:firstLineChars="0"/>
        <w:jc w:val="both"/>
        <w:textAlignment w:val="baseline"/>
        <w:rPr>
          <w:rFonts w:ascii="方正仿宋_GBK" w:hAnsi="方正仿宋_GBK"/>
          <w:snapToGrid w:val="0"/>
          <w:kern w:val="2"/>
        </w:rPr>
      </w:pPr>
      <w:r>
        <w:rPr>
          <w:rFonts w:hint="eastAsia" w:ascii="方正仿宋_GBK" w:hAnsi="方正仿宋_GBK"/>
          <w:snapToGrid w:val="0"/>
          <w:kern w:val="2"/>
        </w:rPr>
        <w:t>《信息安全技术-网络安全等级保护基本要求》(GB/T 22239-2019)；</w:t>
      </w:r>
    </w:p>
    <w:p>
      <w:pPr>
        <w:numPr>
          <w:ilvl w:val="0"/>
          <w:numId w:val="17"/>
        </w:numPr>
        <w:tabs>
          <w:tab w:val="left" w:pos="1000"/>
          <w:tab w:val="left" w:pos="1040"/>
        </w:tabs>
        <w:kinsoku/>
        <w:wordWrap/>
        <w:topLinePunct w:val="0"/>
        <w:autoSpaceDE/>
        <w:autoSpaceDN/>
        <w:bidi w:val="0"/>
        <w:spacing w:line="560" w:lineRule="exact"/>
        <w:ind w:left="604" w:leftChars="200" w:firstLine="0" w:firstLineChars="0"/>
        <w:jc w:val="both"/>
        <w:textAlignment w:val="baseline"/>
        <w:rPr>
          <w:rFonts w:ascii="方正仿宋_GBK" w:hAnsi="方正仿宋_GBK"/>
          <w:snapToGrid w:val="0"/>
          <w:kern w:val="2"/>
        </w:rPr>
      </w:pPr>
      <w:r>
        <w:rPr>
          <w:rFonts w:hint="eastAsia" w:ascii="方正仿宋_GBK" w:hAnsi="方正仿宋_GBK"/>
          <w:snapToGrid w:val="0"/>
          <w:kern w:val="2"/>
        </w:rPr>
        <w:t>《信息安全技术-网络安全等级保护定级指南》(GB/T 22240-2020)；</w:t>
      </w:r>
    </w:p>
    <w:p>
      <w:pPr>
        <w:numPr>
          <w:ilvl w:val="0"/>
          <w:numId w:val="17"/>
        </w:numPr>
        <w:tabs>
          <w:tab w:val="left" w:pos="1000"/>
          <w:tab w:val="left" w:pos="1040"/>
        </w:tabs>
        <w:kinsoku/>
        <w:wordWrap/>
        <w:topLinePunct w:val="0"/>
        <w:autoSpaceDE/>
        <w:autoSpaceDN/>
        <w:bidi w:val="0"/>
        <w:spacing w:line="560" w:lineRule="exact"/>
        <w:ind w:left="604" w:leftChars="200" w:firstLine="0" w:firstLineChars="0"/>
        <w:jc w:val="both"/>
        <w:textAlignment w:val="baseline"/>
        <w:rPr>
          <w:rFonts w:ascii="方正仿宋_GBK" w:hAnsi="方正仿宋_GBK"/>
          <w:snapToGrid w:val="0"/>
          <w:kern w:val="2"/>
        </w:rPr>
      </w:pPr>
      <w:r>
        <w:rPr>
          <w:rFonts w:hint="eastAsia" w:ascii="方正仿宋_GBK" w:hAnsi="方正仿宋_GBK"/>
          <w:snapToGrid w:val="0"/>
          <w:kern w:val="2"/>
        </w:rPr>
        <w:t>《信息安全技术-网络安全等级保护实施指南》(GB/T 25058-2019)；</w:t>
      </w:r>
    </w:p>
    <w:p>
      <w:pPr>
        <w:numPr>
          <w:ilvl w:val="0"/>
          <w:numId w:val="17"/>
        </w:numPr>
        <w:tabs>
          <w:tab w:val="left" w:pos="1000"/>
          <w:tab w:val="left" w:pos="1040"/>
        </w:tabs>
        <w:kinsoku/>
        <w:wordWrap/>
        <w:topLinePunct w:val="0"/>
        <w:autoSpaceDE/>
        <w:autoSpaceDN/>
        <w:bidi w:val="0"/>
        <w:spacing w:line="560" w:lineRule="exact"/>
        <w:ind w:left="604" w:leftChars="200" w:firstLine="0" w:firstLineChars="0"/>
        <w:jc w:val="both"/>
        <w:textAlignment w:val="baseline"/>
        <w:rPr>
          <w:rFonts w:ascii="方正仿宋_GBK" w:hAnsi="方正仿宋_GBK"/>
          <w:snapToGrid w:val="0"/>
          <w:kern w:val="2"/>
        </w:rPr>
      </w:pPr>
      <w:r>
        <w:rPr>
          <w:rFonts w:hint="eastAsia" w:ascii="方正仿宋_GBK" w:hAnsi="方正仿宋_GBK"/>
          <w:snapToGrid w:val="0"/>
          <w:kern w:val="2"/>
        </w:rPr>
        <w:t>《信息安全技术-信息系统安全等级保护体系框架》(GA/T708-2007)；</w:t>
      </w:r>
    </w:p>
    <w:p>
      <w:pPr>
        <w:numPr>
          <w:ilvl w:val="0"/>
          <w:numId w:val="17"/>
        </w:numPr>
        <w:tabs>
          <w:tab w:val="left" w:pos="1000"/>
          <w:tab w:val="left" w:pos="1040"/>
        </w:tabs>
        <w:kinsoku/>
        <w:wordWrap/>
        <w:topLinePunct w:val="0"/>
        <w:autoSpaceDE/>
        <w:autoSpaceDN/>
        <w:bidi w:val="0"/>
        <w:spacing w:line="560" w:lineRule="exact"/>
        <w:ind w:left="604" w:leftChars="200" w:firstLine="0" w:firstLineChars="0"/>
        <w:jc w:val="both"/>
        <w:textAlignment w:val="baseline"/>
        <w:rPr>
          <w:rFonts w:ascii="方正仿宋_GBK" w:hAnsi="方正仿宋_GBK"/>
          <w:snapToGrid w:val="0"/>
          <w:kern w:val="2"/>
        </w:rPr>
      </w:pPr>
      <w:r>
        <w:rPr>
          <w:rFonts w:hint="eastAsia" w:ascii="方正仿宋_GBK" w:hAnsi="方正仿宋_GBK"/>
          <w:snapToGrid w:val="0"/>
          <w:kern w:val="2"/>
        </w:rPr>
        <w:t>《信息安全技术-信息系统安全等级保护基本模型》(GA/T709-2007)；</w:t>
      </w:r>
    </w:p>
    <w:p>
      <w:pPr>
        <w:numPr>
          <w:ilvl w:val="0"/>
          <w:numId w:val="17"/>
        </w:numPr>
        <w:tabs>
          <w:tab w:val="left" w:pos="1000"/>
          <w:tab w:val="left" w:pos="1040"/>
        </w:tabs>
        <w:kinsoku/>
        <w:wordWrap/>
        <w:topLinePunct w:val="0"/>
        <w:autoSpaceDE/>
        <w:autoSpaceDN/>
        <w:bidi w:val="0"/>
        <w:spacing w:line="560" w:lineRule="exact"/>
        <w:ind w:left="604" w:leftChars="200" w:firstLine="0" w:firstLineChars="0"/>
        <w:jc w:val="both"/>
        <w:textAlignment w:val="baseline"/>
        <w:rPr>
          <w:rFonts w:ascii="方正仿宋_GBK" w:hAnsi="方正仿宋_GBK"/>
          <w:snapToGrid w:val="0"/>
          <w:kern w:val="2"/>
        </w:rPr>
      </w:pPr>
      <w:r>
        <w:rPr>
          <w:rFonts w:hint="eastAsia" w:ascii="方正仿宋_GBK" w:hAnsi="方正仿宋_GBK"/>
          <w:snapToGrid w:val="0"/>
          <w:kern w:val="2"/>
        </w:rPr>
        <w:t>《信息安全技术-信息系统安全等级保护基本配置》(GA/T710-2007)；</w:t>
      </w:r>
    </w:p>
    <w:p>
      <w:pPr>
        <w:numPr>
          <w:ilvl w:val="0"/>
          <w:numId w:val="17"/>
        </w:numPr>
        <w:tabs>
          <w:tab w:val="left" w:pos="1000"/>
          <w:tab w:val="left" w:pos="1040"/>
        </w:tabs>
        <w:kinsoku/>
        <w:wordWrap/>
        <w:topLinePunct w:val="0"/>
        <w:autoSpaceDE/>
        <w:autoSpaceDN/>
        <w:bidi w:val="0"/>
        <w:spacing w:line="560" w:lineRule="exact"/>
        <w:ind w:left="604" w:leftChars="200" w:firstLine="0" w:firstLineChars="0"/>
        <w:jc w:val="both"/>
        <w:textAlignment w:val="baseline"/>
        <w:rPr>
          <w:rFonts w:ascii="方正仿宋_GBK" w:hAnsi="方正仿宋_GBK"/>
          <w:snapToGrid w:val="0"/>
          <w:kern w:val="2"/>
        </w:rPr>
      </w:pPr>
      <w:r>
        <w:rPr>
          <w:rFonts w:hint="eastAsia" w:ascii="方正仿宋_GBK" w:hAnsi="方正仿宋_GBK"/>
          <w:snapToGrid w:val="0"/>
          <w:kern w:val="2"/>
        </w:rPr>
        <w:t>《计算机信息系统安全保护等级划分准则》（GB/T 17859-1999）；</w:t>
      </w:r>
    </w:p>
    <w:p>
      <w:pPr>
        <w:numPr>
          <w:ilvl w:val="0"/>
          <w:numId w:val="17"/>
        </w:numPr>
        <w:tabs>
          <w:tab w:val="left" w:pos="1000"/>
          <w:tab w:val="left" w:pos="1040"/>
        </w:tabs>
        <w:kinsoku/>
        <w:wordWrap/>
        <w:topLinePunct w:val="0"/>
        <w:autoSpaceDE/>
        <w:autoSpaceDN/>
        <w:bidi w:val="0"/>
        <w:spacing w:line="560" w:lineRule="exact"/>
        <w:ind w:left="604" w:leftChars="200" w:firstLine="0" w:firstLineChars="0"/>
        <w:jc w:val="both"/>
        <w:textAlignment w:val="baseline"/>
        <w:rPr>
          <w:rFonts w:ascii="方正仿宋_GBK" w:hAnsi="方正仿宋_GBK"/>
          <w:snapToGrid w:val="0"/>
          <w:kern w:val="2"/>
        </w:rPr>
      </w:pPr>
      <w:r>
        <w:rPr>
          <w:rFonts w:hint="eastAsia" w:ascii="方正仿宋_GBK" w:hAnsi="方正仿宋_GBK"/>
          <w:snapToGrid w:val="0"/>
          <w:kern w:val="2"/>
        </w:rPr>
        <w:t>《信息技术安全技术信息安全管理体系要求》（GB/T 22080-2016）；</w:t>
      </w:r>
    </w:p>
    <w:p>
      <w:pPr>
        <w:numPr>
          <w:ilvl w:val="0"/>
          <w:numId w:val="17"/>
        </w:numPr>
        <w:tabs>
          <w:tab w:val="left" w:pos="1000"/>
          <w:tab w:val="left" w:pos="1040"/>
        </w:tabs>
        <w:kinsoku/>
        <w:wordWrap/>
        <w:topLinePunct w:val="0"/>
        <w:autoSpaceDE/>
        <w:autoSpaceDN/>
        <w:bidi w:val="0"/>
        <w:spacing w:line="560" w:lineRule="exact"/>
        <w:ind w:left="604" w:leftChars="200" w:firstLine="0" w:firstLineChars="0"/>
        <w:jc w:val="both"/>
        <w:textAlignment w:val="baseline"/>
        <w:rPr>
          <w:rFonts w:ascii="方正仿宋_GBK" w:hAnsi="方正仿宋_GBK"/>
          <w:snapToGrid w:val="0"/>
          <w:kern w:val="2"/>
        </w:rPr>
      </w:pPr>
      <w:r>
        <w:rPr>
          <w:rFonts w:hint="eastAsia" w:ascii="方正仿宋_GBK" w:hAnsi="方正仿宋_GBK"/>
          <w:snapToGrid w:val="0"/>
          <w:kern w:val="2"/>
        </w:rPr>
        <w:t>《信息安全技术网络安全等级保护安全设计技术要求》（GB/T  25070-2019）。</w:t>
      </w:r>
    </w:p>
    <w:p>
      <w:pPr>
        <w:pStyle w:val="7"/>
        <w:kinsoku/>
        <w:wordWrap/>
        <w:topLinePunct w:val="0"/>
        <w:autoSpaceDE/>
        <w:autoSpaceDN/>
        <w:bidi w:val="0"/>
        <w:spacing w:before="198" w:after="198" w:line="560" w:lineRule="exact"/>
        <w:rPr>
          <w:rFonts w:hint="default"/>
        </w:rPr>
      </w:pPr>
      <w:r>
        <w:t>工程管理标准</w:t>
      </w:r>
    </w:p>
    <w:p>
      <w:pPr>
        <w:kinsoku/>
        <w:wordWrap/>
        <w:topLinePunct w:val="0"/>
        <w:autoSpaceDE/>
        <w:autoSpaceDN/>
        <w:bidi w:val="0"/>
        <w:spacing w:line="560" w:lineRule="exact"/>
        <w:ind w:firstLine="604"/>
        <w:jc w:val="both"/>
        <w:rPr>
          <w:rFonts w:ascii="方正仿宋_GBK" w:hAnsi="方正仿宋_GBK"/>
          <w:snapToGrid w:val="0"/>
          <w:color w:val="000000" w:themeColor="text1"/>
          <w14:textFill>
            <w14:solidFill>
              <w14:schemeClr w14:val="tx1"/>
            </w14:solidFill>
          </w14:textFill>
        </w:rPr>
      </w:pPr>
      <w:r>
        <w:rPr>
          <w:rFonts w:hint="eastAsia" w:ascii="方正仿宋_GBK" w:hAnsi="方正仿宋_GBK"/>
          <w:snapToGrid w:val="0"/>
          <w:color w:val="000000" w:themeColor="text1"/>
          <w14:textFill>
            <w14:solidFill>
              <w14:schemeClr w14:val="tx1"/>
            </w14:solidFill>
          </w14:textFill>
        </w:rPr>
        <w:t>本项目应按照科学的管理方法，利用标准化手段，对工程建设进行全方位、全过程的管理和监督。工程管理应对管理的目标、依据、内容、组织、资源、方法、程序和控制措施进行确定。包括项目管理范围、项目进度管理、项目成本管理、项目质量管理、项目沟通管理、项目人员管理、项目风险管理、项目采购管理、项目变更管理等内容。</w:t>
      </w:r>
    </w:p>
    <w:p>
      <w:pPr>
        <w:kinsoku/>
        <w:wordWrap/>
        <w:topLinePunct w:val="0"/>
        <w:autoSpaceDE/>
        <w:autoSpaceDN/>
        <w:bidi w:val="0"/>
        <w:spacing w:line="560" w:lineRule="exact"/>
        <w:ind w:firstLine="604"/>
        <w:jc w:val="both"/>
        <w:rPr>
          <w:rFonts w:ascii="方正仿宋_GBK" w:hAnsi="方正仿宋_GBK"/>
          <w:snapToGrid w:val="0"/>
          <w:color w:val="000000" w:themeColor="text1"/>
          <w14:textFill>
            <w14:solidFill>
              <w14:schemeClr w14:val="tx1"/>
            </w14:solidFill>
          </w14:textFill>
        </w:rPr>
      </w:pPr>
      <w:r>
        <w:rPr>
          <w:rFonts w:hint="eastAsia" w:ascii="方正仿宋_GBK" w:hAnsi="方正仿宋_GBK"/>
          <w:snapToGrid w:val="0"/>
          <w:color w:val="000000" w:themeColor="text1"/>
          <w14:textFill>
            <w14:solidFill>
              <w14:schemeClr w14:val="tx1"/>
            </w14:solidFill>
          </w14:textFill>
        </w:rPr>
        <w:t>工程管理标准作为指导项目管理工作的纲领性文件，是本项目从立项、开发、监理、验收、运行、管理等环节应遵循的管理规范标准的集合。主要包括工程建设管理规范、运行管理规范、安全管理制度、数据质量控制规范等。</w:t>
      </w:r>
    </w:p>
    <w:p>
      <w:pPr>
        <w:kinsoku/>
        <w:wordWrap/>
        <w:topLinePunct w:val="0"/>
        <w:autoSpaceDE/>
        <w:autoSpaceDN/>
        <w:bidi w:val="0"/>
        <w:spacing w:line="560" w:lineRule="exact"/>
        <w:ind w:firstLine="604"/>
        <w:jc w:val="both"/>
        <w:rPr>
          <w:rFonts w:ascii="方正仿宋_GBK" w:hAnsi="方正仿宋_GBK"/>
          <w:snapToGrid w:val="0"/>
          <w:color w:val="000000" w:themeColor="text1"/>
          <w14:textFill>
            <w14:solidFill>
              <w14:schemeClr w14:val="tx1"/>
            </w14:solidFill>
          </w14:textFill>
        </w:rPr>
      </w:pPr>
      <w:r>
        <w:rPr>
          <w:rFonts w:hint="eastAsia" w:ascii="方正仿宋_GBK" w:hAnsi="方正仿宋_GBK"/>
          <w:snapToGrid w:val="0"/>
          <w:color w:val="000000" w:themeColor="text1"/>
          <w14:textFill>
            <w14:solidFill>
              <w14:schemeClr w14:val="tx1"/>
            </w14:solidFill>
          </w14:textFill>
        </w:rPr>
        <w:t>工程管理标准由监理单位、集成单位辅助建设单位完成，另外，集成单位在中标后，应结合农投集团业务开展实际，</w:t>
      </w:r>
      <w:r>
        <w:rPr>
          <w:rFonts w:hint="eastAsia" w:ascii="方正仿宋_GBK" w:hAnsi="方正仿宋_GBK"/>
          <w:snapToGrid w:val="0"/>
          <w:color w:val="000000" w:themeColor="text1"/>
          <w:lang w:val="en-US" w:eastAsia="zh-CN"/>
          <w14:textFill>
            <w14:solidFill>
              <w14:schemeClr w14:val="tx1"/>
            </w14:solidFill>
          </w14:textFill>
        </w:rPr>
        <w:t>根据集团汇编制度</w:t>
      </w:r>
      <w:r>
        <w:rPr>
          <w:rFonts w:hint="eastAsia" w:ascii="方正仿宋_GBK" w:hAnsi="方正仿宋_GBK"/>
          <w:snapToGrid w:val="0"/>
          <w:color w:val="000000" w:themeColor="text1"/>
          <w14:textFill>
            <w14:solidFill>
              <w14:schemeClr w14:val="tx1"/>
            </w14:solidFill>
          </w14:textFill>
        </w:rPr>
        <w:t>梳理各个业务应用的标准流程，形成业务流程图</w:t>
      </w:r>
      <w:r>
        <w:rPr>
          <w:rFonts w:hint="eastAsia" w:ascii="方正仿宋_GBK" w:hAnsi="方正仿宋_GBK"/>
          <w:snapToGrid w:val="0"/>
          <w:color w:val="000000" w:themeColor="text1"/>
          <w:lang w:val="en-US" w:eastAsia="zh-CN"/>
          <w14:textFill>
            <w14:solidFill>
              <w14:schemeClr w14:val="tx1"/>
            </w14:solidFill>
          </w14:textFill>
        </w:rPr>
        <w:t>及说明</w:t>
      </w:r>
      <w:r>
        <w:rPr>
          <w:rFonts w:hint="eastAsia" w:ascii="方正仿宋_GBK" w:hAnsi="方正仿宋_GBK"/>
          <w:snapToGrid w:val="0"/>
          <w:color w:val="000000" w:themeColor="text1"/>
          <w14:textFill>
            <w14:solidFill>
              <w14:schemeClr w14:val="tx1"/>
            </w14:solidFill>
          </w14:textFill>
        </w:rPr>
        <w:t>。</w:t>
      </w:r>
    </w:p>
    <w:p>
      <w:pPr>
        <w:pStyle w:val="6"/>
        <w:kinsoku/>
        <w:wordWrap/>
        <w:topLinePunct w:val="0"/>
        <w:autoSpaceDE/>
        <w:autoSpaceDN/>
        <w:bidi w:val="0"/>
        <w:spacing w:before="198" w:after="198" w:line="560" w:lineRule="exact"/>
      </w:pPr>
      <w:bookmarkStart w:id="152" w:name="_Toc5296"/>
      <w:r>
        <w:rPr>
          <w:rFonts w:hint="eastAsia"/>
        </w:rPr>
        <w:t>本项目标准建设明细</w:t>
      </w:r>
      <w:bookmarkEnd w:id="152"/>
    </w:p>
    <w:p>
      <w:pPr>
        <w:kinsoku/>
        <w:wordWrap/>
        <w:topLinePunct w:val="0"/>
        <w:autoSpaceDE/>
        <w:autoSpaceDN/>
        <w:bidi w:val="0"/>
        <w:spacing w:line="560" w:lineRule="exact"/>
        <w:ind w:firstLine="604"/>
        <w:jc w:val="both"/>
        <w:rPr>
          <w:rFonts w:hint="default" w:ascii="方正仿宋_GBK" w:hAnsi="方正仿宋_GBK" w:eastAsia="方正仿宋_GBK"/>
          <w:snapToGrid w:val="0"/>
          <w:lang w:val="en-US" w:eastAsia="zh-CN"/>
        </w:rPr>
      </w:pPr>
      <w:r>
        <w:rPr>
          <w:rFonts w:hint="eastAsia" w:ascii="方正仿宋_GBK" w:hAnsi="方正仿宋_GBK"/>
          <w:snapToGrid w:val="0"/>
        </w:rPr>
        <w:t>根据上述标准体系框架和分析再结合本项目的实际情况，围绕重庆市国资委相关文件要求，编制满足集团</w:t>
      </w:r>
      <w:r>
        <w:rPr>
          <w:rFonts w:hint="eastAsia" w:ascii="方正仿宋_GBK" w:hAnsi="方正仿宋_GBK"/>
          <w:snapToGrid w:val="0"/>
          <w:lang w:eastAsia="zh-CN"/>
        </w:rPr>
        <w:t>数智化</w:t>
      </w:r>
      <w:r>
        <w:rPr>
          <w:rFonts w:hint="eastAsia" w:ascii="方正仿宋_GBK" w:hAnsi="方正仿宋_GBK"/>
          <w:snapToGrid w:val="0"/>
        </w:rPr>
        <w:t>管控系统的标准规范，涵盖</w:t>
      </w:r>
      <w:r>
        <w:rPr>
          <w:rFonts w:hint="eastAsia" w:ascii="方正仿宋_GBK" w:hAnsi="方正仿宋_GBK"/>
          <w:snapToGrid w:val="0"/>
          <w:lang w:val="en-US" w:eastAsia="zh-CN"/>
        </w:rPr>
        <w:t>数智化管控的</w:t>
      </w:r>
      <w:r>
        <w:rPr>
          <w:rFonts w:hint="eastAsia" w:ascii="方正仿宋_GBK" w:hAnsi="方正仿宋_GBK"/>
          <w:snapToGrid w:val="0"/>
        </w:rPr>
        <w:t>数据交换标准、应用系统标准、</w:t>
      </w:r>
      <w:r>
        <w:rPr>
          <w:rFonts w:hint="eastAsia" w:ascii="方正仿宋_GBK" w:hAnsi="方正仿宋_GBK"/>
          <w:snapToGrid w:val="0"/>
          <w:lang w:val="en-US" w:eastAsia="zh-CN"/>
        </w:rPr>
        <w:t>信息资源标准、</w:t>
      </w:r>
      <w:r>
        <w:rPr>
          <w:rFonts w:hint="eastAsia" w:ascii="方正仿宋_GBK" w:hAnsi="方正仿宋_GBK"/>
          <w:snapToGrid w:val="0"/>
        </w:rPr>
        <w:t>信息安全标准、</w:t>
      </w:r>
      <w:r>
        <w:rPr>
          <w:rFonts w:hint="eastAsia" w:ascii="方正仿宋_GBK" w:hAnsi="方正仿宋_GBK"/>
          <w:snapToGrid w:val="0"/>
          <w:lang w:val="en-US" w:eastAsia="zh-CN"/>
        </w:rPr>
        <w:t>集团汇编制度流程</w:t>
      </w:r>
      <w:r>
        <w:rPr>
          <w:rFonts w:hint="eastAsia" w:ascii="方正仿宋_GBK" w:hAnsi="方正仿宋_GBK"/>
          <w:snapToGrid w:val="0"/>
        </w:rPr>
        <w:t>标准，为</w:t>
      </w:r>
      <w:r>
        <w:rPr>
          <w:rFonts w:hint="eastAsia" w:ascii="方正仿宋_GBK" w:hAnsi="方正仿宋_GBK"/>
          <w:snapToGrid w:val="0"/>
          <w:lang w:eastAsia="zh-CN"/>
        </w:rPr>
        <w:t>数智化</w:t>
      </w:r>
      <w:r>
        <w:rPr>
          <w:rFonts w:hint="eastAsia" w:ascii="方正仿宋_GBK" w:hAnsi="方正仿宋_GBK"/>
          <w:snapToGrid w:val="0"/>
        </w:rPr>
        <w:t>管控系统资源采集、共享、使用过程中的一致性和共享交换各参与方的互联互通互操作，提供基本的保证，为集团</w:t>
      </w:r>
      <w:r>
        <w:rPr>
          <w:rFonts w:hint="eastAsia" w:ascii="方正仿宋_GBK" w:hAnsi="方正仿宋_GBK"/>
          <w:snapToGrid w:val="0"/>
          <w:lang w:eastAsia="zh-CN"/>
        </w:rPr>
        <w:t>数智化</w:t>
      </w:r>
      <w:r>
        <w:rPr>
          <w:rFonts w:hint="eastAsia" w:ascii="方正仿宋_GBK" w:hAnsi="方正仿宋_GBK"/>
          <w:snapToGrid w:val="0"/>
        </w:rPr>
        <w:t>管控的发展提供规范，并为后续的运维管理提供支撑。</w:t>
      </w:r>
      <w:r>
        <w:rPr>
          <w:rFonts w:hint="eastAsia" w:ascii="方正仿宋_GBK" w:hAnsi="方正仿宋_GBK"/>
          <w:snapToGrid w:val="0"/>
          <w:lang w:val="en-US" w:eastAsia="zh-CN"/>
        </w:rPr>
        <w:t>本次标准规范建议</w:t>
      </w:r>
      <w:r>
        <w:rPr>
          <w:rFonts w:hint="eastAsia" w:ascii="方正仿宋_GBK" w:hAnsi="方正仿宋_GBK"/>
          <w:snapToGrid w:val="0"/>
        </w:rPr>
        <w:t>由项目中标单位完成</w:t>
      </w:r>
      <w:r>
        <w:rPr>
          <w:rFonts w:hint="eastAsia" w:ascii="方正仿宋_GBK" w:hAnsi="方正仿宋_GBK"/>
          <w:snapToGrid w:val="0"/>
          <w:lang w:eastAsia="zh-CN"/>
        </w:rPr>
        <w:t>，</w:t>
      </w:r>
      <w:r>
        <w:rPr>
          <w:rFonts w:hint="eastAsia" w:ascii="方正仿宋_GBK" w:hAnsi="方正仿宋_GBK"/>
          <w:snapToGrid w:val="0"/>
          <w:lang w:val="en-US" w:eastAsia="zh-CN"/>
        </w:rPr>
        <w:t>项目建设单位负责监督指导。</w:t>
      </w:r>
    </w:p>
    <w:p>
      <w:pPr>
        <w:pStyle w:val="5"/>
        <w:kinsoku/>
        <w:wordWrap/>
        <w:topLinePunct w:val="0"/>
        <w:autoSpaceDE/>
        <w:autoSpaceDN/>
        <w:bidi w:val="0"/>
        <w:spacing w:before="198" w:after="198" w:line="560" w:lineRule="exact"/>
        <w:rPr>
          <w:rFonts w:hint="default"/>
        </w:rPr>
      </w:pPr>
      <w:bookmarkStart w:id="153" w:name="_Toc7735"/>
      <w:r>
        <w:t>数据处理和存储系统设计（一云）</w:t>
      </w:r>
      <w:bookmarkEnd w:id="153"/>
    </w:p>
    <w:p>
      <w:pPr>
        <w:pStyle w:val="6"/>
        <w:kinsoku/>
        <w:wordWrap/>
        <w:topLinePunct w:val="0"/>
        <w:autoSpaceDE/>
        <w:autoSpaceDN/>
        <w:bidi w:val="0"/>
        <w:spacing w:before="198" w:after="198" w:line="560" w:lineRule="exact"/>
      </w:pPr>
      <w:bookmarkStart w:id="154" w:name="_Toc31587"/>
      <w:r>
        <w:rPr>
          <w:rFonts w:hint="eastAsia"/>
          <w:lang w:val="en-US" w:eastAsia="zh-CN"/>
        </w:rPr>
        <w:t>基础支撑环境</w:t>
      </w:r>
      <w:bookmarkEnd w:id="154"/>
    </w:p>
    <w:p>
      <w:pPr>
        <w:pStyle w:val="2"/>
        <w:kinsoku/>
        <w:wordWrap/>
        <w:topLinePunct w:val="0"/>
        <w:autoSpaceDE/>
        <w:autoSpaceDN/>
        <w:bidi w:val="0"/>
        <w:spacing w:line="560" w:lineRule="exact"/>
        <w:rPr>
          <w:rFonts w:hint="eastAsia"/>
          <w:b/>
          <w:bCs/>
          <w:lang w:val="en-US" w:eastAsia="zh-CN"/>
        </w:rPr>
      </w:pPr>
      <w:r>
        <w:rPr>
          <w:rFonts w:hint="eastAsia"/>
          <w:b/>
          <w:bCs/>
          <w:lang w:val="en-US" w:eastAsia="zh-CN"/>
        </w:rPr>
        <w:t>1.操作系统</w:t>
      </w:r>
    </w:p>
    <w:p>
      <w:pPr>
        <w:pStyle w:val="2"/>
        <w:kinsoku/>
        <w:wordWrap/>
        <w:topLinePunct w:val="0"/>
        <w:autoSpaceDE/>
        <w:autoSpaceDN/>
        <w:bidi w:val="0"/>
        <w:spacing w:line="560" w:lineRule="exact"/>
        <w:rPr>
          <w:rFonts w:hint="default"/>
          <w:lang w:val="en-US" w:eastAsia="zh-CN"/>
        </w:rPr>
      </w:pPr>
      <w:r>
        <w:rPr>
          <w:rFonts w:hint="default"/>
          <w:lang w:val="en-US" w:eastAsia="zh-CN"/>
        </w:rPr>
        <w:t>本次项目操作系统建议采用Linux</w:t>
      </w:r>
      <w:r>
        <w:rPr>
          <w:rFonts w:hint="eastAsia"/>
          <w:lang w:val="en-US" w:eastAsia="zh-CN"/>
        </w:rPr>
        <w:t xml:space="preserve"> </w:t>
      </w:r>
      <w:r>
        <w:rPr>
          <w:rFonts w:hint="default"/>
          <w:lang w:val="en-US" w:eastAsia="zh-CN"/>
        </w:rPr>
        <w:t>centos</w:t>
      </w:r>
      <w:r>
        <w:rPr>
          <w:rFonts w:hint="eastAsia"/>
          <w:lang w:val="en-US" w:eastAsia="zh-CN"/>
        </w:rPr>
        <w:t>最新或成熟版本</w:t>
      </w:r>
      <w:r>
        <w:rPr>
          <w:rFonts w:hint="default"/>
          <w:lang w:val="en-US" w:eastAsia="zh-CN"/>
        </w:rPr>
        <w:t>，同时应用软件的开发环境要为国产软件的应用普及做好准备，便于后期符合安可要求的国产可控操作系统普及后的切换。</w:t>
      </w:r>
    </w:p>
    <w:p>
      <w:pPr>
        <w:pStyle w:val="2"/>
        <w:kinsoku/>
        <w:wordWrap/>
        <w:topLinePunct w:val="0"/>
        <w:autoSpaceDE/>
        <w:autoSpaceDN/>
        <w:bidi w:val="0"/>
        <w:spacing w:line="560" w:lineRule="exact"/>
        <w:rPr>
          <w:rFonts w:hint="eastAsia"/>
          <w:b/>
          <w:bCs/>
          <w:lang w:val="en-US" w:eastAsia="zh-CN"/>
        </w:rPr>
      </w:pPr>
      <w:r>
        <w:rPr>
          <w:rFonts w:hint="eastAsia"/>
          <w:b/>
          <w:bCs/>
          <w:lang w:val="en-US" w:eastAsia="zh-CN"/>
        </w:rPr>
        <w:t>2.数据库管理软件</w:t>
      </w:r>
    </w:p>
    <w:p>
      <w:pPr>
        <w:pStyle w:val="2"/>
        <w:kinsoku/>
        <w:wordWrap/>
        <w:topLinePunct w:val="0"/>
        <w:autoSpaceDE/>
        <w:autoSpaceDN/>
        <w:bidi w:val="0"/>
        <w:spacing w:line="560" w:lineRule="exact"/>
        <w:rPr>
          <w:rFonts w:hint="default"/>
          <w:lang w:val="en-US" w:eastAsia="zh-CN"/>
        </w:rPr>
      </w:pPr>
      <w:r>
        <w:rPr>
          <w:rFonts w:hint="default"/>
          <w:lang w:val="en-US" w:eastAsia="zh-CN"/>
        </w:rPr>
        <w:t>本次数据库软件建议采用开源的</w:t>
      </w:r>
      <w:r>
        <w:rPr>
          <w:rFonts w:hint="eastAsia"/>
          <w:lang w:val="en-US" w:eastAsia="zh-CN"/>
        </w:rPr>
        <w:t>Mysql</w:t>
      </w:r>
      <w:r>
        <w:rPr>
          <w:rFonts w:hint="default"/>
          <w:lang w:val="en-US" w:eastAsia="zh-CN"/>
        </w:rPr>
        <w:t>，由系统集成商统一提供并安装部署。同时本项目所采用的数据库软件支持国产软件应用普及后的切换。</w:t>
      </w:r>
    </w:p>
    <w:p>
      <w:pPr>
        <w:pStyle w:val="6"/>
        <w:kinsoku/>
        <w:wordWrap/>
        <w:topLinePunct w:val="0"/>
        <w:autoSpaceDE/>
        <w:autoSpaceDN/>
        <w:bidi w:val="0"/>
        <w:spacing w:before="198" w:after="198" w:line="560" w:lineRule="exact"/>
      </w:pPr>
      <w:bookmarkStart w:id="155" w:name="_Toc29064"/>
      <w:r>
        <w:rPr>
          <w:rFonts w:hint="eastAsia"/>
        </w:rPr>
        <w:t>数据处理系统设计</w:t>
      </w:r>
      <w:bookmarkEnd w:id="155"/>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根据第四章4.2.3节“服务器处理能力分析”，得出本项目应用服务器tpmc需求为630000、数据库服务器tpmc需求为640000。</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按照1CPU虚拟资源处理20000tpmc值计算，应用服务器需要32CPU的虚拟资源配套、数据库服务器需要32CPU的虚拟资源配套。则本项目虚拟服务器资源需求如下：</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应用服务器：4台，单台配置不低于8vCPU（主频2.5GHZ）、64GB内存。</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数据库服务器：4台，单台配置不低于8vCPU（主频2.5GHZ）、256G内存。</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虚拟服务器资源配置如下表所示：</w:t>
      </w:r>
    </w:p>
    <w:p>
      <w:pPr>
        <w:keepNext/>
        <w:widowControl w:val="0"/>
        <w:numPr>
          <w:ilvl w:val="0"/>
          <w:numId w:val="18"/>
        </w:numPr>
        <w:kinsoku/>
        <w:wordWrap/>
        <w:topLinePunct w:val="0"/>
        <w:autoSpaceDE/>
        <w:autoSpaceDN/>
        <w:bidi w:val="0"/>
        <w:spacing w:before="397" w:beforeLines="100" w:line="560" w:lineRule="exact"/>
        <w:ind w:firstLineChars="0"/>
        <w:jc w:val="center"/>
        <w:textAlignment w:val="center"/>
        <w:rPr>
          <w:rFonts w:ascii="方正仿宋_GBK" w:hAnsi="方正仿宋_GBK"/>
          <w:snapToGrid w:val="0"/>
        </w:rPr>
      </w:pPr>
      <w:r>
        <w:rPr>
          <w:rFonts w:hint="eastAsia" w:ascii="方正仿宋_GBK" w:hAnsi="方正仿宋_GBK"/>
          <w:snapToGrid w:val="0"/>
        </w:rPr>
        <w:t>虚拟服务器资源配置表</w:t>
      </w:r>
    </w:p>
    <w:tbl>
      <w:tblPr>
        <w:tblStyle w:val="11"/>
        <w:tblW w:w="8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46"/>
        <w:gridCol w:w="3630"/>
        <w:gridCol w:w="1338"/>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blHeader/>
        </w:trPr>
        <w:tc>
          <w:tcPr>
            <w:tcW w:w="1946"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0" w:firstLineChars="0"/>
              <w:jc w:val="center"/>
              <w:textAlignment w:val="auto"/>
              <w:rPr>
                <w:rFonts w:ascii="方正仿宋_GBK" w:hAnsi="方正仿宋_GBK"/>
                <w:snapToGrid w:val="0"/>
              </w:rPr>
            </w:pPr>
            <w:r>
              <w:rPr>
                <w:rFonts w:hint="eastAsia" w:ascii="方正仿宋_GBK" w:hAnsi="方正仿宋_GBK"/>
                <w:snapToGrid w:val="0"/>
              </w:rPr>
              <w:t>虚拟服务器</w:t>
            </w:r>
          </w:p>
        </w:tc>
        <w:tc>
          <w:tcPr>
            <w:tcW w:w="363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0" w:firstLineChars="0"/>
              <w:jc w:val="center"/>
              <w:textAlignment w:val="auto"/>
              <w:rPr>
                <w:rFonts w:ascii="方正仿宋_GBK" w:hAnsi="方正仿宋_GBK"/>
                <w:snapToGrid w:val="0"/>
              </w:rPr>
            </w:pPr>
            <w:r>
              <w:rPr>
                <w:rFonts w:hint="eastAsia" w:ascii="方正仿宋_GBK" w:hAnsi="方正仿宋_GBK"/>
                <w:snapToGrid w:val="0"/>
              </w:rPr>
              <w:t>CPU</w:t>
            </w:r>
          </w:p>
        </w:tc>
        <w:tc>
          <w:tcPr>
            <w:tcW w:w="1338"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0" w:firstLineChars="0"/>
              <w:jc w:val="center"/>
              <w:textAlignment w:val="auto"/>
              <w:rPr>
                <w:rFonts w:ascii="方正仿宋_GBK" w:hAnsi="方正仿宋_GBK"/>
                <w:snapToGrid w:val="0"/>
              </w:rPr>
            </w:pPr>
            <w:r>
              <w:rPr>
                <w:rFonts w:hint="eastAsia" w:ascii="方正仿宋_GBK" w:hAnsi="方正仿宋_GBK"/>
                <w:snapToGrid w:val="0"/>
              </w:rPr>
              <w:t>内存（GB）</w:t>
            </w:r>
          </w:p>
        </w:tc>
        <w:tc>
          <w:tcPr>
            <w:tcW w:w="137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0" w:firstLineChars="0"/>
              <w:jc w:val="center"/>
              <w:textAlignment w:val="auto"/>
              <w:rPr>
                <w:rFonts w:ascii="方正仿宋_GBK" w:hAnsi="方正仿宋_GBK"/>
                <w:snapToGrid w:val="0"/>
              </w:rPr>
            </w:pPr>
            <w:r>
              <w:rPr>
                <w:rFonts w:hint="eastAsia" w:ascii="方正仿宋_GBK" w:hAnsi="方正仿宋_GBK"/>
                <w:snapToGrid w:val="0"/>
              </w:rPr>
              <w:t>数量（台）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946"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0" w:firstLineChars="0"/>
              <w:jc w:val="center"/>
              <w:textAlignment w:val="auto"/>
              <w:rPr>
                <w:rFonts w:ascii="方正仿宋_GBK" w:hAnsi="方正仿宋_GBK"/>
                <w:snapToGrid w:val="0"/>
              </w:rPr>
            </w:pPr>
            <w:r>
              <w:rPr>
                <w:rFonts w:hint="eastAsia" w:ascii="方正仿宋_GBK" w:hAnsi="方正仿宋_GBK"/>
                <w:snapToGrid w:val="0"/>
              </w:rPr>
              <w:t>应用服务器</w:t>
            </w:r>
          </w:p>
        </w:tc>
        <w:tc>
          <w:tcPr>
            <w:tcW w:w="363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0" w:firstLineChars="0"/>
              <w:jc w:val="center"/>
              <w:textAlignment w:val="auto"/>
              <w:rPr>
                <w:rFonts w:ascii="方正仿宋_GBK" w:hAnsi="方正仿宋_GBK"/>
                <w:snapToGrid w:val="0"/>
              </w:rPr>
            </w:pPr>
            <w:r>
              <w:rPr>
                <w:rFonts w:hint="eastAsia" w:ascii="方正仿宋_GBK" w:hAnsi="方正仿宋_GBK"/>
                <w:snapToGrid w:val="0"/>
              </w:rPr>
              <w:t>单台配置不低于8vCPU（主频2.5GHZ）</w:t>
            </w:r>
          </w:p>
        </w:tc>
        <w:tc>
          <w:tcPr>
            <w:tcW w:w="1338"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0" w:firstLineChars="0"/>
              <w:jc w:val="center"/>
              <w:textAlignment w:val="auto"/>
              <w:rPr>
                <w:rFonts w:ascii="方正仿宋_GBK" w:hAnsi="方正仿宋_GBK"/>
                <w:snapToGrid w:val="0"/>
              </w:rPr>
            </w:pPr>
            <w:r>
              <w:rPr>
                <w:rFonts w:hint="eastAsia" w:ascii="方正仿宋_GBK" w:hAnsi="方正仿宋_GBK"/>
                <w:snapToGrid w:val="0"/>
              </w:rPr>
              <w:t>64</w:t>
            </w:r>
          </w:p>
        </w:tc>
        <w:tc>
          <w:tcPr>
            <w:tcW w:w="137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0" w:firstLineChars="0"/>
              <w:jc w:val="center"/>
              <w:textAlignment w:val="auto"/>
              <w:rPr>
                <w:rFonts w:ascii="方正仿宋_GBK" w:hAnsi="方正仿宋_GBK"/>
                <w:snapToGrid w:val="0"/>
              </w:rPr>
            </w:pPr>
            <w:r>
              <w:rPr>
                <w:rFonts w:hint="eastAsia" w:ascii="方正仿宋_GBK" w:hAnsi="方正仿宋_GBK"/>
                <w:snapToGrid w:val="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946"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0" w:firstLineChars="0"/>
              <w:jc w:val="center"/>
              <w:textAlignment w:val="auto"/>
              <w:rPr>
                <w:rFonts w:ascii="方正仿宋_GBK" w:hAnsi="方正仿宋_GBK"/>
                <w:snapToGrid w:val="0"/>
              </w:rPr>
            </w:pPr>
            <w:r>
              <w:rPr>
                <w:rFonts w:hint="eastAsia" w:ascii="方正仿宋_GBK" w:hAnsi="方正仿宋_GBK"/>
                <w:snapToGrid w:val="0"/>
              </w:rPr>
              <w:t>数据库服务器</w:t>
            </w:r>
          </w:p>
        </w:tc>
        <w:tc>
          <w:tcPr>
            <w:tcW w:w="363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0" w:firstLineChars="0"/>
              <w:jc w:val="center"/>
              <w:textAlignment w:val="auto"/>
              <w:rPr>
                <w:rFonts w:ascii="方正仿宋_GBK" w:hAnsi="方正仿宋_GBK"/>
                <w:snapToGrid w:val="0"/>
              </w:rPr>
            </w:pPr>
            <w:r>
              <w:rPr>
                <w:rFonts w:hint="eastAsia" w:ascii="方正仿宋_GBK" w:hAnsi="方正仿宋_GBK"/>
                <w:snapToGrid w:val="0"/>
              </w:rPr>
              <w:t>单台配置不低于8vCPU（主频2.5GHZ）</w:t>
            </w:r>
          </w:p>
        </w:tc>
        <w:tc>
          <w:tcPr>
            <w:tcW w:w="1338"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0" w:firstLineChars="0"/>
              <w:jc w:val="center"/>
              <w:textAlignment w:val="auto"/>
              <w:rPr>
                <w:rFonts w:ascii="方正仿宋_GBK" w:hAnsi="方正仿宋_GBK"/>
                <w:snapToGrid w:val="0"/>
              </w:rPr>
            </w:pPr>
            <w:r>
              <w:rPr>
                <w:rFonts w:hint="eastAsia" w:ascii="方正仿宋_GBK" w:hAnsi="方正仿宋_GBK"/>
                <w:snapToGrid w:val="0"/>
              </w:rPr>
              <w:t>256</w:t>
            </w:r>
          </w:p>
        </w:tc>
        <w:tc>
          <w:tcPr>
            <w:tcW w:w="137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0" w:firstLineChars="0"/>
              <w:jc w:val="center"/>
              <w:textAlignment w:val="auto"/>
              <w:rPr>
                <w:rFonts w:ascii="方正仿宋_GBK" w:hAnsi="方正仿宋_GBK"/>
                <w:snapToGrid w:val="0"/>
              </w:rPr>
            </w:pPr>
            <w:r>
              <w:rPr>
                <w:rFonts w:hint="eastAsia" w:ascii="方正仿宋_GBK" w:hAnsi="方正仿宋_GBK"/>
                <w:snapToGrid w:val="0"/>
              </w:rPr>
              <w:t>4</w:t>
            </w:r>
          </w:p>
        </w:tc>
      </w:tr>
    </w:tbl>
    <w:p>
      <w:pPr>
        <w:kinsoku/>
        <w:wordWrap/>
        <w:topLinePunct w:val="0"/>
        <w:autoSpaceDE/>
        <w:autoSpaceDN/>
        <w:bidi w:val="0"/>
        <w:spacing w:line="560" w:lineRule="exact"/>
        <w:ind w:firstLine="604"/>
        <w:rPr>
          <w:rFonts w:ascii="方正仿宋_GBK" w:hAnsi="方正仿宋_GBK"/>
        </w:rPr>
      </w:pPr>
    </w:p>
    <w:p>
      <w:pPr>
        <w:pStyle w:val="2"/>
        <w:kinsoku/>
        <w:wordWrap/>
        <w:topLinePunct w:val="0"/>
        <w:autoSpaceDE/>
        <w:autoSpaceDN/>
        <w:bidi w:val="0"/>
        <w:spacing w:line="560" w:lineRule="exact"/>
        <w:rPr>
          <w:rFonts w:hint="default" w:eastAsia="方正仿宋_GBK"/>
          <w:lang w:val="en-US" w:eastAsia="zh-CN"/>
        </w:rPr>
      </w:pPr>
      <w:r>
        <w:rPr>
          <w:rFonts w:hint="eastAsia" w:ascii="方正仿宋_GBK" w:hAnsi="方正仿宋_GBK"/>
          <w:lang w:val="en-US" w:eastAsia="zh-CN"/>
        </w:rPr>
        <w:t>此外，本次考虑租用5台弹性X86云主机（4核8GB）CPU主频≥2.2GHz、系统盘windows默认60GB、Linux默认40GB、数据盘500GB用于部署安全系统。</w:t>
      </w:r>
    </w:p>
    <w:p>
      <w:pPr>
        <w:pStyle w:val="6"/>
        <w:kinsoku/>
        <w:wordWrap/>
        <w:topLinePunct w:val="0"/>
        <w:autoSpaceDE/>
        <w:autoSpaceDN/>
        <w:bidi w:val="0"/>
        <w:spacing w:before="198" w:after="198" w:line="560" w:lineRule="exact"/>
      </w:pPr>
      <w:bookmarkStart w:id="156" w:name="_Toc13643"/>
      <w:r>
        <w:rPr>
          <w:rFonts w:hint="eastAsia"/>
        </w:rPr>
        <w:t>存储系统设计</w:t>
      </w:r>
      <w:bookmarkEnd w:id="156"/>
    </w:p>
    <w:p>
      <w:pPr>
        <w:pStyle w:val="2"/>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snapToGrid w:val="0"/>
        </w:rPr>
        <w:t>根据信息量测算结果，</w:t>
      </w:r>
      <w:r>
        <w:rPr>
          <w:rFonts w:hint="eastAsia" w:ascii="方正仿宋_GBK" w:hAnsi="方正仿宋_GBK"/>
        </w:rPr>
        <w:t>本项目满足</w:t>
      </w:r>
      <w:r>
        <w:rPr>
          <w:rFonts w:hint="eastAsia" w:ascii="方正仿宋_GBK" w:hAnsi="方正仿宋_GBK"/>
          <w:lang w:val="en-US" w:eastAsia="zh-CN"/>
        </w:rPr>
        <w:t>系统上线第一年所需的存储空间需求约8TB，系统运行三年所需的</w:t>
      </w:r>
      <w:r>
        <w:rPr>
          <w:rFonts w:hint="eastAsia" w:ascii="方正仿宋_GBK" w:hAnsi="方正仿宋_GBK"/>
        </w:rPr>
        <w:t>存储容量需求</w:t>
      </w:r>
      <w:r>
        <w:rPr>
          <w:rFonts w:hint="eastAsia" w:ascii="方正仿宋_GBK" w:hAnsi="方正仿宋_GBK"/>
          <w:lang w:val="en-US" w:eastAsia="zh-CN"/>
        </w:rPr>
        <w:t>约</w:t>
      </w:r>
      <w:r>
        <w:rPr>
          <w:rFonts w:hint="eastAsia" w:ascii="方正仿宋_GBK" w:hAnsi="方正仿宋_GBK"/>
        </w:rPr>
        <w:t>为1</w:t>
      </w:r>
      <w:r>
        <w:rPr>
          <w:rFonts w:hint="eastAsia" w:ascii="方正仿宋_GBK" w:hAnsi="方正仿宋_GBK"/>
          <w:lang w:val="en-US" w:eastAsia="zh-CN"/>
        </w:rPr>
        <w:t>1</w:t>
      </w:r>
      <w:r>
        <w:rPr>
          <w:rFonts w:hint="eastAsia" w:ascii="方正仿宋_GBK" w:hAnsi="方正仿宋_GBK"/>
        </w:rPr>
        <w:t>TB。</w:t>
      </w:r>
    </w:p>
    <w:p>
      <w:pPr>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lang w:val="en-US" w:eastAsia="zh-CN"/>
        </w:rPr>
        <w:t>考虑到云存储的弹性扩展特点以及按年租用模式能够节省项目投资，本次建议先按照系统上线第一年的存储需求进行租用云资源</w:t>
      </w:r>
      <w:r>
        <w:rPr>
          <w:rFonts w:hint="eastAsia" w:ascii="方正仿宋_GBK" w:hAnsi="方正仿宋_GBK"/>
          <w:snapToGrid w:val="0"/>
        </w:rPr>
        <w:t>，后续再根据系统的</w:t>
      </w:r>
      <w:r>
        <w:rPr>
          <w:rFonts w:hint="eastAsia" w:ascii="方正仿宋_GBK" w:hAnsi="方正仿宋_GBK"/>
          <w:snapToGrid w:val="0"/>
          <w:lang w:val="en-US" w:eastAsia="zh-CN"/>
        </w:rPr>
        <w:t>实际</w:t>
      </w:r>
      <w:r>
        <w:rPr>
          <w:rFonts w:hint="eastAsia" w:ascii="方正仿宋_GBK" w:hAnsi="方正仿宋_GBK"/>
          <w:snapToGrid w:val="0"/>
        </w:rPr>
        <w:t>运行使用情况进行存储容量的扩容。</w:t>
      </w:r>
    </w:p>
    <w:p>
      <w:pPr>
        <w:pStyle w:val="6"/>
        <w:kinsoku/>
        <w:wordWrap/>
        <w:topLinePunct w:val="0"/>
        <w:autoSpaceDE/>
        <w:autoSpaceDN/>
        <w:bidi w:val="0"/>
        <w:spacing w:before="198" w:after="198" w:line="560" w:lineRule="exact"/>
      </w:pPr>
      <w:bookmarkStart w:id="157" w:name="_Toc18907"/>
      <w:r>
        <w:rPr>
          <w:rFonts w:hint="eastAsia"/>
        </w:rPr>
        <w:t>备份系统设计</w:t>
      </w:r>
      <w:bookmarkEnd w:id="157"/>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为保证本地数据的安全性，本项目通过云平台对所有存储数据进行备份。</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备份周期：以周为单位，每周进行1次全量数据备份，其他6天每天进行增量数据备份。备份数据保存时长为2个周。</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全量业务数据按</w:t>
      </w:r>
      <w:r>
        <w:rPr>
          <w:rFonts w:hint="eastAsia" w:ascii="方正仿宋_GBK" w:hAnsi="方正仿宋_GBK"/>
          <w:snapToGrid w:val="0"/>
          <w:lang w:val="en-US" w:eastAsia="zh-CN"/>
        </w:rPr>
        <w:t>8</w:t>
      </w:r>
      <w:r>
        <w:rPr>
          <w:rFonts w:hint="eastAsia" w:ascii="方正仿宋_GBK" w:hAnsi="方正仿宋_GBK"/>
          <w:snapToGrid w:val="0"/>
        </w:rPr>
        <w:t>T考虑，每天产生的增量业务数据按照全量业务数据的1%考虑，则备份数据为：</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备份数据=（</w:t>
      </w:r>
      <w:r>
        <w:rPr>
          <w:rFonts w:hint="eastAsia" w:ascii="方正仿宋_GBK" w:hAnsi="方正仿宋_GBK"/>
          <w:snapToGrid w:val="0"/>
          <w:lang w:val="en-US" w:eastAsia="zh-CN"/>
        </w:rPr>
        <w:t>8</w:t>
      </w:r>
      <w:r>
        <w:rPr>
          <w:rFonts w:hint="eastAsia" w:ascii="方正仿宋_GBK" w:hAnsi="方正仿宋_GBK"/>
          <w:snapToGrid w:val="0"/>
        </w:rPr>
        <w:t>T*（1+1%）^6</w:t>
      </w:r>
      <w:r>
        <w:rPr>
          <w:rFonts w:hint="eastAsia" w:ascii="方正仿宋_GBK" w:hAnsi="方正仿宋_GBK"/>
          <w:snapToGrid w:val="0"/>
          <w:lang w:eastAsia="zh-CN"/>
        </w:rPr>
        <w:t>）</w:t>
      </w:r>
      <w:r>
        <w:rPr>
          <w:rFonts w:hint="eastAsia" w:ascii="方正仿宋_GBK" w:hAnsi="方正仿宋_GBK"/>
          <w:snapToGrid w:val="0"/>
        </w:rPr>
        <w:t>*2=</w:t>
      </w:r>
      <w:r>
        <w:rPr>
          <w:rFonts w:hint="eastAsia" w:ascii="方正仿宋_GBK" w:hAnsi="方正仿宋_GBK"/>
          <w:snapToGrid w:val="0"/>
          <w:lang w:val="en-US" w:eastAsia="zh-CN"/>
        </w:rPr>
        <w:t>17</w:t>
      </w:r>
      <w:r>
        <w:rPr>
          <w:rFonts w:hint="eastAsia" w:ascii="方正仿宋_GBK" w:hAnsi="方正仿宋_GBK"/>
          <w:snapToGrid w:val="0"/>
        </w:rPr>
        <w:t>T；</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备份数据考虑3：1的去重后，至少需要</w:t>
      </w:r>
      <w:r>
        <w:rPr>
          <w:rFonts w:hint="eastAsia" w:ascii="方正仿宋_GBK" w:hAnsi="方正仿宋_GBK"/>
          <w:snapToGrid w:val="0"/>
          <w:lang w:val="en-US" w:eastAsia="zh-CN"/>
        </w:rPr>
        <w:t>11</w:t>
      </w:r>
      <w:r>
        <w:rPr>
          <w:rFonts w:hint="eastAsia" w:ascii="方正仿宋_GBK" w:hAnsi="方正仿宋_GBK"/>
          <w:snapToGrid w:val="0"/>
        </w:rPr>
        <w:t>T的容量。</w:t>
      </w:r>
    </w:p>
    <w:p>
      <w:pPr>
        <w:pStyle w:val="5"/>
        <w:kinsoku/>
        <w:wordWrap/>
        <w:topLinePunct w:val="0"/>
        <w:autoSpaceDE/>
        <w:autoSpaceDN/>
        <w:bidi w:val="0"/>
        <w:spacing w:before="198" w:after="198" w:line="560" w:lineRule="exact"/>
        <w:rPr>
          <w:rFonts w:hint="default"/>
        </w:rPr>
      </w:pPr>
      <w:bookmarkStart w:id="158" w:name="_Toc13644"/>
      <w:r>
        <w:t>信息资源规划和数据库设计（一中心）</w:t>
      </w:r>
      <w:bookmarkEnd w:id="158"/>
    </w:p>
    <w:p>
      <w:pPr>
        <w:pStyle w:val="6"/>
        <w:kinsoku/>
        <w:wordWrap/>
        <w:topLinePunct w:val="0"/>
        <w:autoSpaceDE/>
        <w:autoSpaceDN/>
        <w:bidi w:val="0"/>
        <w:spacing w:before="198" w:after="198" w:line="560" w:lineRule="exact"/>
      </w:pPr>
      <w:bookmarkStart w:id="159" w:name="_Toc23944"/>
      <w:r>
        <w:rPr>
          <w:rFonts w:hint="eastAsia"/>
        </w:rPr>
        <w:t>信息资源规划</w:t>
      </w:r>
      <w:bookmarkEnd w:id="159"/>
    </w:p>
    <w:p>
      <w:pPr>
        <w:pStyle w:val="7"/>
        <w:kinsoku/>
        <w:wordWrap/>
        <w:topLinePunct w:val="0"/>
        <w:autoSpaceDE/>
        <w:autoSpaceDN/>
        <w:bidi w:val="0"/>
        <w:spacing w:before="198" w:after="198" w:line="560" w:lineRule="exact"/>
        <w:rPr>
          <w:rFonts w:hint="default"/>
        </w:rPr>
      </w:pPr>
      <w:r>
        <w:t>信息资源类别</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本次系统数据资源主要分为基础数据和业务数据：</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1.基础数据：主要包括集团及分子公司组织架构数据、部门及人员权限数据、集团及分子公司人员数据等；</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2.业务数据：主要包括战略规划数据、投资管理数据、资产数据、安全环保数据、运营管理数据、财务数据、风险管控数据、会议纪要数据、企业创新数据、法律法规数据、</w:t>
      </w:r>
      <w:r>
        <w:rPr>
          <w:rFonts w:hint="eastAsia" w:ascii="方正仿宋_GBK" w:hAnsi="方正仿宋_GBK"/>
          <w:snapToGrid w:val="0"/>
          <w:lang w:eastAsia="zh-Hans"/>
        </w:rPr>
        <w:t>外聘法律顾问管理</w:t>
      </w:r>
      <w:r>
        <w:rPr>
          <w:rFonts w:hint="eastAsia" w:ascii="方正仿宋_GBK" w:hAnsi="方正仿宋_GBK"/>
          <w:snapToGrid w:val="0"/>
        </w:rPr>
        <w:t>数据、</w:t>
      </w:r>
      <w:r>
        <w:rPr>
          <w:rFonts w:hint="eastAsia" w:ascii="方正仿宋_GBK" w:hAnsi="方正仿宋_GBK"/>
          <w:snapToGrid w:val="0"/>
          <w:lang w:val="en-US" w:eastAsia="zh-CN"/>
        </w:rPr>
        <w:t>市</w:t>
      </w:r>
      <w:r>
        <w:rPr>
          <w:rFonts w:hint="eastAsia" w:ascii="方正仿宋_GBK" w:hAnsi="方正仿宋_GBK"/>
          <w:snapToGrid w:val="0"/>
        </w:rPr>
        <w:t>国资委要求</w:t>
      </w:r>
      <w:r>
        <w:rPr>
          <w:rFonts w:hint="eastAsia" w:ascii="方正仿宋_GBK" w:hAnsi="方正仿宋_GBK"/>
          <w:snapToGrid w:val="0"/>
          <w:lang w:eastAsia="zh-CN"/>
        </w:rPr>
        <w:t>的</w:t>
      </w:r>
      <w:r>
        <w:rPr>
          <w:rFonts w:hint="eastAsia" w:ascii="方正仿宋_GBK" w:hAnsi="方正仿宋_GBK"/>
          <w:snapToGrid w:val="0"/>
        </w:rPr>
        <w:t>19项大额资金系统指标（付款企业名称、交易日期、银行流水号、付款企业银行账号、付款企业银行名称、付款企业开户行、付款企业银行账户类型、金额、币种、汇率、收款企业名称、收款企业银行账号、收款企业开户行、支出依据、资金用途、资金用途说明、预算内外、资金流向）、审计数据、国企改革数据等。</w:t>
      </w:r>
    </w:p>
    <w:p>
      <w:pPr>
        <w:pStyle w:val="7"/>
        <w:kinsoku/>
        <w:wordWrap/>
        <w:topLinePunct w:val="0"/>
        <w:autoSpaceDE/>
        <w:autoSpaceDN/>
        <w:bidi w:val="0"/>
        <w:spacing w:before="198" w:after="198" w:line="560" w:lineRule="exact"/>
        <w:rPr>
          <w:rFonts w:hint="default"/>
        </w:rPr>
      </w:pPr>
      <w:r>
        <w:t>数据来源</w:t>
      </w:r>
    </w:p>
    <w:p>
      <w:pPr>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本次涉及的相关数据来源如下：</w:t>
      </w:r>
    </w:p>
    <w:p>
      <w:pPr>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1.集团原有在用信息化系统：OA系统、用友NC系统、久其软件、集团门户网站等；</w:t>
      </w:r>
    </w:p>
    <w:p>
      <w:pPr>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2.银行等外部业务系统产生数据；</w:t>
      </w:r>
    </w:p>
    <w:p>
      <w:pPr>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3.集团及分子公司人员手工录入；</w:t>
      </w:r>
    </w:p>
    <w:p>
      <w:pPr>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4.系统开发进程中创建；</w:t>
      </w:r>
    </w:p>
    <w:p>
      <w:pPr>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5.通过相关介质在原有非联网信息化系统中拷贝导入。</w:t>
      </w:r>
    </w:p>
    <w:p>
      <w:pPr>
        <w:pStyle w:val="7"/>
        <w:kinsoku/>
        <w:wordWrap/>
        <w:topLinePunct w:val="0"/>
        <w:autoSpaceDE/>
        <w:autoSpaceDN/>
        <w:bidi w:val="0"/>
        <w:spacing w:before="198" w:after="198" w:line="560" w:lineRule="exact"/>
        <w:rPr>
          <w:rFonts w:hint="default"/>
        </w:rPr>
      </w:pPr>
      <w:r>
        <w:t>数据处理</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各个业务系统均按照数据采集、格式化、数据校验、入库进行数据处理。</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1.数据采集</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数据采集可以通过与业务系统结合的数据采集工具、数据文件、Webservice接口以及其他数据库系统的数据源提取数据；</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抓取得到的原始数据如果是非结构化数据，则需要按照特定数据源进行结构化。</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数据采集对采集的数据进行版本管理，并记录采集日志，反映数据采集过程中数据源、数据、原始数据的变化，从而形成统计报告。</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2.数据格式化</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系统提供将采集到的非格式化数据根据各个数据库的规则，转换成符合数据库规则的格式化数据；</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数据类型转换：将数据转换成规则要求的数据类型，无法转换的数据进行标记；</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数据长度转换：将数据截取为规则要求的数据长度，无法转换的数据进行标记；</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数据范围转换：将数据转换为要求的数据范围内，无法转换的数据进行标记；</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空值、默认值转换：将数据中不存在的信息，按照规则填充为空值或默认值。</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3.数据校验</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系统提供的数据校验功能，能够对数据采集后进行数据格式化后的数据，和数据库中已有数据进行数据校验；</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数据校验按照数据库规则，对数据进行数据类型校验、数据长度校验、数据范围校验、数据完整性校验、数据一致性校验。</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4.数据入库</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系统提供的数据入库功能，将经过数据采集、数据格式化、数据校验的数据保存到相应的数据库中。入库过程中，系统在数据库中对数据库进行版本控制，并记录数据入库记录，以便形成入库报告。</w:t>
      </w:r>
    </w:p>
    <w:p>
      <w:pPr>
        <w:pStyle w:val="6"/>
        <w:kinsoku/>
        <w:wordWrap/>
        <w:topLinePunct w:val="0"/>
        <w:autoSpaceDE/>
        <w:autoSpaceDN/>
        <w:bidi w:val="0"/>
        <w:spacing w:before="198" w:after="198" w:line="560" w:lineRule="exact"/>
      </w:pPr>
      <w:bookmarkStart w:id="160" w:name="_Toc13148"/>
      <w:r>
        <w:rPr>
          <w:rFonts w:hint="eastAsia"/>
        </w:rPr>
        <w:t>数据库设计</w:t>
      </w:r>
      <w:bookmarkEnd w:id="160"/>
    </w:p>
    <w:p>
      <w:pPr>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本次项目数据库按照国资监管业务数据指标库（1.0版）进行设计。</w:t>
      </w:r>
    </w:p>
    <w:p>
      <w:pPr>
        <w:pStyle w:val="7"/>
        <w:kinsoku/>
        <w:wordWrap/>
        <w:topLinePunct w:val="0"/>
        <w:autoSpaceDE/>
        <w:autoSpaceDN/>
        <w:bidi w:val="0"/>
        <w:spacing w:before="198" w:after="198" w:line="560" w:lineRule="exact"/>
        <w:rPr>
          <w:rFonts w:hint="default"/>
        </w:rPr>
      </w:pPr>
      <w:r>
        <w:t>基础数据库</w:t>
      </w:r>
    </w:p>
    <w:p>
      <w:pPr>
        <w:numPr>
          <w:ilvl w:val="0"/>
          <w:numId w:val="19"/>
        </w:num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集团及分子公司组织架构数据库</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包含集团及分子公司组织架构、职能职责、人员配置等相关数据。</w:t>
      </w:r>
    </w:p>
    <w:p>
      <w:pPr>
        <w:numPr>
          <w:ilvl w:val="0"/>
          <w:numId w:val="19"/>
        </w:num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部门及人员权限数据库</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包含人员所属部门、权限级别、相关权限说明等相关数据。</w:t>
      </w:r>
    </w:p>
    <w:p>
      <w:pPr>
        <w:numPr>
          <w:ilvl w:val="0"/>
          <w:numId w:val="19"/>
        </w:num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集团及分子公司人员数据库</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包含人员的姓名、</w:t>
      </w:r>
      <w:r>
        <w:rPr>
          <w:rFonts w:hint="eastAsia" w:ascii="方正仿宋_GBK" w:hAnsi="方正仿宋_GBK"/>
          <w:snapToGrid w:val="0"/>
          <w:lang w:val="en-US" w:eastAsia="zh-CN"/>
        </w:rPr>
        <w:t>身份证号、社会面貌、</w:t>
      </w:r>
      <w:r>
        <w:rPr>
          <w:rFonts w:hint="eastAsia" w:ascii="方正仿宋_GBK" w:hAnsi="方正仿宋_GBK"/>
          <w:snapToGrid w:val="0"/>
        </w:rPr>
        <w:t>联系方式、所属</w:t>
      </w:r>
      <w:r>
        <w:rPr>
          <w:rFonts w:hint="eastAsia" w:ascii="方正仿宋_GBK" w:hAnsi="方正仿宋_GBK"/>
          <w:snapToGrid w:val="0"/>
          <w:lang w:val="en-US" w:eastAsia="zh-CN"/>
        </w:rPr>
        <w:t>公司</w:t>
      </w:r>
      <w:r>
        <w:rPr>
          <w:rFonts w:hint="eastAsia" w:ascii="方正仿宋_GBK" w:hAnsi="方正仿宋_GBK"/>
          <w:snapToGrid w:val="0"/>
          <w:lang w:eastAsia="zh-CN"/>
        </w:rPr>
        <w:t>、</w:t>
      </w:r>
      <w:r>
        <w:rPr>
          <w:rFonts w:hint="eastAsia" w:ascii="方正仿宋_GBK" w:hAnsi="方正仿宋_GBK"/>
          <w:snapToGrid w:val="0"/>
        </w:rPr>
        <w:t>所属部门、任职履历等相关数据。</w:t>
      </w:r>
    </w:p>
    <w:p>
      <w:pPr>
        <w:pStyle w:val="7"/>
        <w:kinsoku/>
        <w:wordWrap/>
        <w:topLinePunct w:val="0"/>
        <w:autoSpaceDE/>
        <w:autoSpaceDN/>
        <w:bidi w:val="0"/>
        <w:spacing w:before="198" w:after="198" w:line="560" w:lineRule="exact"/>
        <w:rPr>
          <w:rFonts w:hint="default"/>
        </w:rPr>
      </w:pPr>
      <w:r>
        <w:t>业务数据库</w:t>
      </w:r>
    </w:p>
    <w:p>
      <w:pPr>
        <w:numPr>
          <w:ilvl w:val="0"/>
          <w:numId w:val="20"/>
        </w:num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战略规划数据库</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包含</w:t>
      </w:r>
      <w:r>
        <w:rPr>
          <w:rFonts w:hint="eastAsia" w:ascii="方正仿宋_GBK" w:hAnsi="方正仿宋_GBK"/>
          <w:snapToGrid w:val="0"/>
          <w:lang w:eastAsia="zh-Hans"/>
        </w:rPr>
        <w:t>战略</w:t>
      </w:r>
      <w:r>
        <w:rPr>
          <w:rFonts w:hint="eastAsia" w:ascii="方正仿宋_GBK" w:hAnsi="方正仿宋_GBK"/>
          <w:snapToGrid w:val="0"/>
        </w:rPr>
        <w:t>规划</w:t>
      </w:r>
      <w:r>
        <w:rPr>
          <w:rFonts w:hint="eastAsia" w:ascii="方正仿宋_GBK" w:hAnsi="方正仿宋_GBK"/>
          <w:snapToGrid w:val="0"/>
          <w:lang w:eastAsia="zh-Hans"/>
        </w:rPr>
        <w:t>、战略</w:t>
      </w:r>
      <w:r>
        <w:rPr>
          <w:rFonts w:hint="eastAsia" w:ascii="方正仿宋_GBK" w:hAnsi="方正仿宋_GBK"/>
          <w:snapToGrid w:val="0"/>
        </w:rPr>
        <w:t>执行管理</w:t>
      </w:r>
      <w:r>
        <w:rPr>
          <w:rFonts w:hint="eastAsia" w:ascii="方正仿宋_GBK" w:hAnsi="方正仿宋_GBK"/>
          <w:snapToGrid w:val="0"/>
          <w:lang w:eastAsia="zh-Hans"/>
        </w:rPr>
        <w:t>、战略</w:t>
      </w:r>
      <w:r>
        <w:rPr>
          <w:rFonts w:hint="eastAsia" w:ascii="方正仿宋_GBK" w:hAnsi="方正仿宋_GBK"/>
          <w:snapToGrid w:val="0"/>
        </w:rPr>
        <w:t>评价管理等数据。</w:t>
      </w:r>
    </w:p>
    <w:p>
      <w:pPr>
        <w:numPr>
          <w:ilvl w:val="0"/>
          <w:numId w:val="20"/>
        </w:num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投资管理数据库</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包好项目库管理、年度投资计划、前期流程、决策管理等数据。</w:t>
      </w:r>
    </w:p>
    <w:p>
      <w:pPr>
        <w:numPr>
          <w:ilvl w:val="0"/>
          <w:numId w:val="20"/>
        </w:num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资产数据库</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包含土地、房屋、大型设施设备、股权等相关资产数据及资产全生命周期跟踪管理等数据。</w:t>
      </w:r>
    </w:p>
    <w:p>
      <w:pPr>
        <w:numPr>
          <w:ilvl w:val="0"/>
          <w:numId w:val="20"/>
        </w:num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安全环保数据库</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包含安全生产报表、任务、业安全状况、安全资料、人员工作安排等数据。</w:t>
      </w:r>
    </w:p>
    <w:p>
      <w:pPr>
        <w:numPr>
          <w:ilvl w:val="0"/>
          <w:numId w:val="20"/>
        </w:num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运营管理数据库</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包含集团及分子公司经营指标、业务计划、大宗物资采购管理、营销管理、经济运行分析管理、考核管理等相关数据。</w:t>
      </w:r>
    </w:p>
    <w:p>
      <w:pPr>
        <w:numPr>
          <w:ilvl w:val="0"/>
          <w:numId w:val="20"/>
        </w:num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财务数据库</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包含集团利润情况、负债情况、现金流量、所有者权益、投资控股情况、人员费用报销、各组织年度、季度、月度财务报表、国资14项指标等相关数据。</w:t>
      </w:r>
    </w:p>
    <w:p>
      <w:pPr>
        <w:numPr>
          <w:ilvl w:val="0"/>
          <w:numId w:val="20"/>
        </w:num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风险管控数据库</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包含风险基础信息、风险应对计划、定期风险报告、不定期风险报告、风险事件跟踪信息、风险处理信息、风险预警信息、风险知识、风险指标等相关数据。</w:t>
      </w:r>
    </w:p>
    <w:p>
      <w:pPr>
        <w:numPr>
          <w:ilvl w:val="0"/>
          <w:numId w:val="20"/>
        </w:num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会议纪要数据库</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包含集团线上、线上会议时间、主题、参与人员、会议决策意向、会议决策结果等相关数据。</w:t>
      </w:r>
    </w:p>
    <w:p>
      <w:pPr>
        <w:numPr>
          <w:ilvl w:val="0"/>
          <w:numId w:val="20"/>
        </w:num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企业创新数据库</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包含科技、知识产权、创新项目、先进技术等相关数据</w:t>
      </w:r>
    </w:p>
    <w:p>
      <w:pPr>
        <w:numPr>
          <w:ilvl w:val="0"/>
          <w:numId w:val="20"/>
        </w:num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法律法规数据库</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包含企业相关法律政策规范名称、类别、发布单位、文号、年限、具体内容等相关数据。</w:t>
      </w:r>
    </w:p>
    <w:p>
      <w:pPr>
        <w:numPr>
          <w:ilvl w:val="0"/>
          <w:numId w:val="20"/>
        </w:num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lang w:eastAsia="zh-Hans"/>
        </w:rPr>
        <w:t>外聘法律顾问管理</w:t>
      </w:r>
      <w:r>
        <w:rPr>
          <w:rFonts w:hint="eastAsia" w:ascii="方正仿宋_GBK" w:hAnsi="方正仿宋_GBK"/>
          <w:snapToGrid w:val="0"/>
        </w:rPr>
        <w:t>数据库</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包含</w:t>
      </w:r>
      <w:r>
        <w:rPr>
          <w:rFonts w:hint="eastAsia" w:ascii="方正仿宋_GBK" w:hAnsi="方正仿宋_GBK"/>
          <w:snapToGrid w:val="0"/>
          <w:lang w:eastAsia="zh-Hans"/>
        </w:rPr>
        <w:t>顾问机构、律师</w:t>
      </w:r>
      <w:r>
        <w:rPr>
          <w:rFonts w:hint="eastAsia" w:ascii="方正仿宋_GBK" w:hAnsi="方正仿宋_GBK"/>
          <w:snapToGrid w:val="0"/>
        </w:rPr>
        <w:t>基本信息</w:t>
      </w:r>
      <w:r>
        <w:rPr>
          <w:rFonts w:hint="eastAsia" w:ascii="方正仿宋_GBK" w:hAnsi="方正仿宋_GBK"/>
          <w:snapToGrid w:val="0"/>
          <w:lang w:eastAsia="zh-Hans"/>
        </w:rPr>
        <w:t>、律师选聘、服务活动、律师考核</w:t>
      </w:r>
      <w:r>
        <w:rPr>
          <w:rFonts w:hint="eastAsia" w:ascii="方正仿宋_GBK" w:hAnsi="方正仿宋_GBK"/>
          <w:snapToGrid w:val="0"/>
        </w:rPr>
        <w:t>等相关数据。</w:t>
      </w:r>
    </w:p>
    <w:p>
      <w:pPr>
        <w:numPr>
          <w:ilvl w:val="0"/>
          <w:numId w:val="20"/>
        </w:num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审计数据库</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包含对相关部门及人员的审计计划、审计发现记录、审计发现评估、审计证据、审计台账、企业征信、人员档案、审计工作方案、审计报告、问题公告、整改措施等相关数据</w:t>
      </w:r>
    </w:p>
    <w:p>
      <w:pPr>
        <w:numPr>
          <w:ilvl w:val="0"/>
          <w:numId w:val="20"/>
        </w:num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国企改革数据库</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包含企业制度建设情况、企业改革进展情况、企业并购情况、控股权转让情况等数据。</w:t>
      </w:r>
    </w:p>
    <w:p>
      <w:pPr>
        <w:pStyle w:val="5"/>
        <w:kinsoku/>
        <w:wordWrap/>
        <w:topLinePunct w:val="0"/>
        <w:autoSpaceDE/>
        <w:autoSpaceDN/>
        <w:bidi w:val="0"/>
        <w:spacing w:before="198" w:after="198" w:line="560" w:lineRule="exact"/>
        <w:rPr>
          <w:rFonts w:hint="default"/>
        </w:rPr>
      </w:pPr>
      <w:bookmarkStart w:id="161" w:name="_Toc23483"/>
      <w:r>
        <w:t>数据中台设计（两台）</w:t>
      </w:r>
      <w:bookmarkEnd w:id="161"/>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数据中台为提供一站式数据解决方案，构建数据分析和运营能力，解决数据“存、通、治、用”等难题，助力数字化转型，让数据作为生产资料融入业务价值创造过程，持续产生价值。</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数据中台是以数据资产为核心，实现数据的分层和水平解耦，支撑数据的整合、加工、处理等一系列过程，保障数据资产的完整性、准确性、一致性和及时性，提供全域的数据服务，提供干净、透明、智慧的数据资产，并具备高效、易用的数据能力，使得集团业务能够数智化运营。</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数字中台的主要功能模块包括：主数据管理、数据管理平台、数据交换平台、数据采集平台。</w:t>
      </w:r>
    </w:p>
    <w:p>
      <w:pPr>
        <w:pStyle w:val="6"/>
        <w:kinsoku/>
        <w:wordWrap/>
        <w:topLinePunct w:val="0"/>
        <w:autoSpaceDE/>
        <w:autoSpaceDN/>
        <w:bidi w:val="0"/>
        <w:spacing w:before="198" w:after="198" w:line="560" w:lineRule="exact"/>
      </w:pPr>
      <w:bookmarkStart w:id="162" w:name="_Toc25787"/>
      <w:r>
        <w:rPr>
          <w:rFonts w:hint="eastAsia"/>
        </w:rPr>
        <w:t>主数据管理</w:t>
      </w:r>
      <w:bookmarkEnd w:id="162"/>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建立一致性的数据标准，为数据中台建设提供统一的基础规范能力。从数据的产生与流转、数据的存储与整合以及数据的分析与价值发现提供一套稳定、可靠的、可溯源的强大监管体系。</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主数据管理用于统一农投集团数据标准，支持基础数据字典维护、管理范围定义及规则设置、数据导入、数据清洗及数据映射、数据导出及下发、数据更新等功能。通过主数据管理功能，形成跨越不同系统的统一主数据标准，同时要兼顾主数据管理工作的便捷。</w:t>
      </w:r>
    </w:p>
    <w:p>
      <w:pPr>
        <w:pStyle w:val="6"/>
        <w:kinsoku/>
        <w:wordWrap/>
        <w:topLinePunct w:val="0"/>
        <w:autoSpaceDE/>
        <w:autoSpaceDN/>
        <w:bidi w:val="0"/>
        <w:spacing w:before="198" w:after="198" w:line="560" w:lineRule="exact"/>
      </w:pPr>
      <w:bookmarkStart w:id="163" w:name="_Toc1112"/>
      <w:r>
        <w:rPr>
          <w:rFonts w:hint="eastAsia"/>
        </w:rPr>
        <w:t>数据管理平台</w:t>
      </w:r>
      <w:bookmarkEnd w:id="163"/>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数据管理平台是用于企业数仓建设和数据管理的工具，包括数据源、数据加工厂、数据质量管理、数据标准管理、数据服务管理、数据服务共享等模块，可实现对数据全生命周期的管理。通过数据管理平台</w:t>
      </w:r>
      <w:r>
        <w:rPr>
          <w:rFonts w:hint="eastAsia" w:ascii="方正仿宋_GBK" w:hAnsi="方正仿宋_GBK"/>
          <w:snapToGrid w:val="0"/>
          <w:lang w:eastAsia="zh-CN"/>
        </w:rPr>
        <w:t>，</w:t>
      </w:r>
      <w:r>
        <w:rPr>
          <w:rFonts w:hint="eastAsia" w:ascii="方正仿宋_GBK" w:hAnsi="方正仿宋_GBK"/>
          <w:snapToGrid w:val="0"/>
        </w:rPr>
        <w:t>可以实现以下功能</w:t>
      </w:r>
      <w:r>
        <w:rPr>
          <w:rFonts w:hint="eastAsia" w:ascii="方正仿宋_GBK" w:hAnsi="方正仿宋_GBK"/>
          <w:snapToGrid w:val="0"/>
          <w:lang w:eastAsia="zh-CN"/>
        </w:rPr>
        <w:t>：</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1.对内</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通过一个统一的管理平台，将的各种数据进行汇总和储存，实现企业不同地域的系统之间的互联互通，实现跨地域的信息同步。</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2.对外</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通过标准的协议接口，集成外部的系统，来实现和外部异构系统之间的互联互通，实现上下游资源一体化。再添加权限控制、流程流转和统计分析等，最终形成一个有关联的，整体的数据系统。</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3.数据加工</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通过高效数据仓库建模工具，快速构建数据仓库，使数据能够得到充分的管理和应用，连接和深度萃取数据价值，形成以业务核心对象为中心的连接和标签，深度萃取数据的价值，并对数据进行算法加工，按照规划的业务域和维度数据，对各个数据进行汇总聚合关联，形成数据模型应用于生产与管理，为发挥数据价值提供有力保障。通过对农投集团管控所需指标体系的梳理，按照分析主题及指标，建立模型，形成分析数据结果，为下一步各系统</w:t>
      </w:r>
      <w:r>
        <w:rPr>
          <w:rFonts w:hint="eastAsia" w:ascii="方正仿宋_GBK" w:hAnsi="方正仿宋_GBK"/>
          <w:snapToGrid w:val="0"/>
          <w:lang w:val="en-US" w:eastAsia="zh-CN"/>
        </w:rPr>
        <w:t>高效使用</w:t>
      </w:r>
      <w:r>
        <w:rPr>
          <w:rFonts w:hint="eastAsia" w:ascii="方正仿宋_GBK" w:hAnsi="方正仿宋_GBK"/>
          <w:snapToGrid w:val="0"/>
        </w:rPr>
        <w:t>和分析展示做准备。</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4.开发和维护</w:t>
      </w:r>
    </w:p>
    <w:p>
      <w:pPr>
        <w:kinsoku/>
        <w:wordWrap/>
        <w:topLinePunct w:val="0"/>
        <w:autoSpaceDE/>
        <w:autoSpaceDN/>
        <w:bidi w:val="0"/>
        <w:spacing w:line="560" w:lineRule="exact"/>
        <w:ind w:firstLine="604"/>
        <w:jc w:val="both"/>
        <w:rPr>
          <w:rFonts w:hint="eastAsia" w:ascii="方正仿宋_GBK" w:hAnsi="方正仿宋_GBK"/>
          <w:snapToGrid w:val="0"/>
        </w:rPr>
      </w:pPr>
      <w:r>
        <w:rPr>
          <w:rFonts w:hint="eastAsia" w:ascii="方正仿宋_GBK" w:hAnsi="方正仿宋_GBK"/>
          <w:snapToGrid w:val="0"/>
        </w:rPr>
        <w:t>不再依赖于特定专业开发人员、业务人员；使不懂技术的工作人员经过基础培训就可以接入系统，独立搭建企业应用，降低了成本和开发风险。尤其在灵活可扩展性上，能适应需求和未来扩展，做到快速响应业务的需求。</w:t>
      </w:r>
    </w:p>
    <w:p>
      <w:pPr>
        <w:pStyle w:val="2"/>
        <w:kinsoku/>
        <w:wordWrap/>
        <w:topLinePunct w:val="0"/>
        <w:autoSpaceDE/>
        <w:autoSpaceDN/>
        <w:bidi w:val="0"/>
        <w:spacing w:line="560" w:lineRule="exact"/>
        <w:rPr>
          <w:rFonts w:hint="default" w:eastAsia="方正仿宋_GBK"/>
          <w:lang w:val="en-US" w:eastAsia="zh-CN"/>
        </w:rPr>
      </w:pPr>
      <w:r>
        <w:rPr>
          <w:rFonts w:hint="eastAsia" w:ascii="方正仿宋_GBK" w:hAnsi="方正仿宋_GBK"/>
          <w:snapToGrid w:val="0"/>
          <w:lang w:val="en-US" w:eastAsia="zh-CN"/>
        </w:rPr>
        <w:t>数据治理流程示意图如下：</w:t>
      </w:r>
    </w:p>
    <w:p>
      <w:pPr>
        <w:pStyle w:val="2"/>
        <w:keepNext w:val="0"/>
        <w:keepLines w:val="0"/>
        <w:pageBreakBefore w:val="0"/>
        <w:widowControl/>
        <w:kinsoku/>
        <w:wordWrap/>
        <w:overflowPunct/>
        <w:topLinePunct w:val="0"/>
        <w:autoSpaceDE/>
        <w:autoSpaceDN/>
        <w:bidi w:val="0"/>
        <w:adjustRightInd w:val="0"/>
        <w:snapToGrid w:val="0"/>
        <w:spacing w:line="560" w:lineRule="exact"/>
        <w:ind w:firstLine="0" w:firstLineChars="0"/>
        <w:textAlignment w:val="auto"/>
      </w:pPr>
      <w:r>
        <w:drawing>
          <wp:inline distT="0" distB="0" distL="114300" distR="114300">
            <wp:extent cx="5235575" cy="2880360"/>
            <wp:effectExtent l="0" t="0" r="3175" b="1524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a:stretch>
                      <a:fillRect/>
                    </a:stretch>
                  </pic:blipFill>
                  <pic:spPr>
                    <a:xfrm>
                      <a:off x="0" y="0"/>
                      <a:ext cx="5235575" cy="2880360"/>
                    </a:xfrm>
                    <a:prstGeom prst="rect">
                      <a:avLst/>
                    </a:prstGeom>
                    <a:noFill/>
                    <a:ln>
                      <a:noFill/>
                    </a:ln>
                  </pic:spPr>
                </pic:pic>
              </a:graphicData>
            </a:graphic>
          </wp:inline>
        </w:drawing>
      </w:r>
    </w:p>
    <w:p>
      <w:pPr>
        <w:numPr>
          <w:ilvl w:val="0"/>
          <w:numId w:val="10"/>
        </w:numPr>
        <w:tabs>
          <w:tab w:val="left" w:pos="0"/>
        </w:tabs>
        <w:kinsoku/>
        <w:wordWrap/>
        <w:topLinePunct w:val="0"/>
        <w:autoSpaceDE/>
        <w:autoSpaceDN/>
        <w:bidi w:val="0"/>
        <w:spacing w:before="198" w:beforeLines="50" w:after="397" w:afterLines="100" w:line="560" w:lineRule="exact"/>
        <w:ind w:firstLineChars="0"/>
        <w:jc w:val="center"/>
      </w:pPr>
      <w:r>
        <w:rPr>
          <w:rFonts w:hint="eastAsia"/>
          <w:lang w:val="en-US" w:eastAsia="zh-CN"/>
        </w:rPr>
        <w:t>数据治理流程示意图</w:t>
      </w:r>
    </w:p>
    <w:p>
      <w:pPr>
        <w:pStyle w:val="6"/>
        <w:kinsoku/>
        <w:wordWrap/>
        <w:topLinePunct w:val="0"/>
        <w:autoSpaceDE/>
        <w:autoSpaceDN/>
        <w:bidi w:val="0"/>
        <w:spacing w:before="198" w:after="198" w:line="560" w:lineRule="exact"/>
      </w:pPr>
      <w:bookmarkStart w:id="164" w:name="_Toc29399"/>
      <w:r>
        <w:rPr>
          <w:rFonts w:hint="eastAsia"/>
        </w:rPr>
        <w:t>数据共享交换</w:t>
      </w:r>
      <w:bookmarkEnd w:id="164"/>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数据共享交换平台主要用于采集下级单位数据，以及未来实现与市国资委在线监管平台的数据采集交换平台进行对接，从数据源头上提升与上下级部门的连接，同时保证农投集团内部上下级单位业务时效性和一致性、提高农投集团自身管控数据利用效能、减轻下级单位数据报送负担，为其提供基础支撑和</w:t>
      </w:r>
      <w:r>
        <w:rPr>
          <w:rFonts w:hint="eastAsia" w:ascii="方正仿宋_GBK" w:hAnsi="方正仿宋_GBK"/>
          <w:snapToGrid w:val="0"/>
          <w:lang w:eastAsia="zh-CN"/>
        </w:rPr>
        <w:t>有力保障</w:t>
      </w:r>
      <w:r>
        <w:rPr>
          <w:rFonts w:hint="eastAsia" w:ascii="方正仿宋_GBK" w:hAnsi="方正仿宋_GBK"/>
          <w:snapToGrid w:val="0"/>
        </w:rPr>
        <w:t>。</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数据共享交换平台为农投集团所有业务系统提供数据服务，新建业务应用的数据直接基于统一数据共享中心建设，逐步实现国资监管数据的统一管理。统一数据共享交换中心实现采集汇聚的数据按照预定规则进行处理，并按需构建基础库、各主题库。中心以API</w:t>
      </w:r>
      <w:r>
        <w:rPr>
          <w:rFonts w:hint="eastAsia" w:ascii="方正仿宋_GBK" w:hAnsi="方正仿宋_GBK"/>
          <w:snapToGrid w:val="0"/>
          <w:lang w:eastAsia="zh-CN"/>
        </w:rPr>
        <w:t>（</w:t>
      </w:r>
      <w:r>
        <w:rPr>
          <w:rFonts w:hint="eastAsia" w:ascii="方正仿宋_GBK" w:hAnsi="方正仿宋_GBK"/>
          <w:snapToGrid w:val="0"/>
        </w:rPr>
        <w:t>应用程序编程接口)作为数据和服务载体，满足横向到边、纵向到底的全面数据共享交换。同时在逐步建设过程中，可考虑逐步引入数据挖掘分析子中心建设，实现数据的深度融合，数据分析服务等。</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1.向市国资委国资监管系统上报数据</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遵循市国资委制定的数据采集交换相关数据标准、接口规范等统一要求。预留与重庆市国资委接口，通过数据采集交换平台，将数据上传到市国资委，由市</w:t>
      </w:r>
      <w:r>
        <w:rPr>
          <w:rFonts w:hint="eastAsia" w:ascii="方正仿宋_GBK" w:hAnsi="方正仿宋_GBK"/>
          <w:snapToGrid w:val="0"/>
          <w:lang w:val="en-US" w:eastAsia="zh-CN"/>
        </w:rPr>
        <w:t>国资委</w:t>
      </w:r>
      <w:r>
        <w:rPr>
          <w:rFonts w:hint="eastAsia" w:ascii="方正仿宋_GBK" w:hAnsi="方正仿宋_GBK"/>
          <w:snapToGrid w:val="0"/>
        </w:rPr>
        <w:t>根据</w:t>
      </w:r>
      <w:r>
        <w:rPr>
          <w:rFonts w:hint="eastAsia" w:ascii="方正仿宋_GBK" w:hAnsi="方正仿宋_GBK"/>
          <w:snapToGrid w:val="0"/>
          <w:lang w:val="en-US" w:eastAsia="zh-CN"/>
        </w:rPr>
        <w:t>国务院国资委</w:t>
      </w:r>
      <w:r>
        <w:rPr>
          <w:rFonts w:hint="eastAsia" w:ascii="方正仿宋_GBK" w:hAnsi="方正仿宋_GBK"/>
          <w:snapToGrid w:val="0"/>
        </w:rPr>
        <w:t>要求，对数据进行统一上</w:t>
      </w:r>
      <w:r>
        <w:rPr>
          <w:rFonts w:hint="eastAsia" w:ascii="方正仿宋_GBK" w:hAnsi="方正仿宋_GBK"/>
          <w:snapToGrid w:val="0"/>
          <w:lang w:val="en-US" w:eastAsia="zh-CN"/>
        </w:rPr>
        <w:t>报</w:t>
      </w:r>
      <w:r>
        <w:rPr>
          <w:rFonts w:hint="eastAsia" w:ascii="方正仿宋_GBK" w:hAnsi="方正仿宋_GBK"/>
          <w:snapToGrid w:val="0"/>
        </w:rPr>
        <w:t>。</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2.与所出资企业数据采集交换</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由农投集团制定数据标准、接口规范等统一要求，制定农投集团内部的数据标准，并将标准下发给下级单位，下级单位按要求上传相关数据至交换平台中。通过统一目录标准和基础数据的同步，在企业内部形成统一集中的采集渠道，并对采集全过程进行跟踪反馈，提升数据采集质量，提高与各成员企业数据采集交换的协同能力。</w:t>
      </w:r>
    </w:p>
    <w:p>
      <w:pPr>
        <w:pStyle w:val="6"/>
        <w:kinsoku/>
        <w:wordWrap/>
        <w:topLinePunct w:val="0"/>
        <w:autoSpaceDE/>
        <w:autoSpaceDN/>
        <w:bidi w:val="0"/>
        <w:spacing w:before="198" w:after="198" w:line="560" w:lineRule="exact"/>
      </w:pPr>
      <w:bookmarkStart w:id="165" w:name="_Toc1987"/>
      <w:r>
        <w:rPr>
          <w:rFonts w:hint="eastAsia"/>
        </w:rPr>
        <w:t>数据采集平台</w:t>
      </w:r>
      <w:bookmarkEnd w:id="165"/>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通过数据采集平台，能够定义数据采集节点、数据采集目录、采集任务，进而完成对需要采集的系统数据进行采集。</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建设满足农投集团数据管理需求的统一数据采集平台，为数据中心提供收集和汇总数据。平台要求采用分布式处理架构进行大数据采集与统一调度，提高数据处理的并行能力；同时考虑系统横向线性扩展能力，确保数据安全、平台安全。</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数据采集主要完成和各数据源单位之间的原始数据归集，包括从各数据源单位采集的原始数据、向各单位返回的差错文件，主要内容包括：数据桥接、数据适配、数据同步、数据抽取、数据存储等。同时，系统设计中应采用易用的“业务向导式”操作界面，</w:t>
      </w:r>
      <w:r>
        <w:rPr>
          <w:rFonts w:hint="eastAsia" w:ascii="方正仿宋_GBK" w:hAnsi="方正仿宋_GBK"/>
          <w:snapToGrid w:val="0"/>
          <w:lang w:eastAsia="zh-CN"/>
        </w:rPr>
        <w:t>详细地帮助</w:t>
      </w:r>
      <w:r>
        <w:rPr>
          <w:rFonts w:hint="eastAsia" w:ascii="方正仿宋_GBK" w:hAnsi="方正仿宋_GBK"/>
          <w:snapToGrid w:val="0"/>
        </w:rPr>
        <w:t>文档和页面提示，严格的数据校验等措施，达到方便、准确的采集监管数据，以保证整个业务流程的正常运转。</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统一数据采集组件至少包含采集指标管理、采集任务监控、采集任务管理、采集质量管理、数据审核管理等功能。通过不同的数据采集工具和手段，应能够支持各类工业相关数据源的数据采集；应支持海量多源异构数据的采集和导入，包括支持传统数据库、本地、FTP等多种数据源；支持结构化、半结构化、非结构化数据的导入；支持定时、实时、循环任务等多种数据采集导入方式；应提供丰富的数据采集功能，包括数据迁移、数据集成、EXECL导入、日志获取等采集功能。</w:t>
      </w:r>
    </w:p>
    <w:p>
      <w:pPr>
        <w:pStyle w:val="5"/>
        <w:kinsoku/>
        <w:wordWrap/>
        <w:topLinePunct w:val="0"/>
        <w:autoSpaceDE/>
        <w:autoSpaceDN/>
        <w:bidi w:val="0"/>
        <w:spacing w:before="198" w:after="198" w:line="560" w:lineRule="exact"/>
        <w:rPr>
          <w:rFonts w:hint="default"/>
        </w:rPr>
      </w:pPr>
      <w:bookmarkStart w:id="166" w:name="_Toc3698"/>
      <w:r>
        <w:t>基础支持平台设计（两台）</w:t>
      </w:r>
      <w:bookmarkEnd w:id="166"/>
    </w:p>
    <w:p>
      <w:pPr>
        <w:pStyle w:val="6"/>
        <w:kinsoku/>
        <w:wordWrap/>
        <w:topLinePunct w:val="0"/>
        <w:autoSpaceDE/>
        <w:autoSpaceDN/>
        <w:bidi w:val="0"/>
        <w:spacing w:before="198" w:after="198" w:line="560" w:lineRule="exact"/>
      </w:pPr>
      <w:bookmarkStart w:id="167" w:name="_Toc13823"/>
      <w:r>
        <w:rPr>
          <w:rFonts w:hint="eastAsia"/>
        </w:rPr>
        <w:t>统一沟通平台</w:t>
      </w:r>
      <w:bookmarkEnd w:id="167"/>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构建集团总部、下属企业统一通讯录，实现纵向、横向的实时沟通交流。</w:t>
      </w:r>
    </w:p>
    <w:p>
      <w:pPr>
        <w:numPr>
          <w:ilvl w:val="0"/>
          <w:numId w:val="21"/>
        </w:num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具有即时沟通功能模块，可实现点对点的即时沟通，实现建立多人群组会议，可上传附件、拍照、发送位置、聊天记录查询等。</w:t>
      </w:r>
    </w:p>
    <w:p>
      <w:pPr>
        <w:numPr>
          <w:ilvl w:val="0"/>
          <w:numId w:val="21"/>
        </w:num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即时通讯的组织架构和人员需要与协同平台组织架构和人员完全一致。</w:t>
      </w:r>
    </w:p>
    <w:p>
      <w:pPr>
        <w:numPr>
          <w:ilvl w:val="0"/>
          <w:numId w:val="21"/>
        </w:num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全平台消息推送，PC端、移动端都可接受即时通讯消息推送。</w:t>
      </w:r>
    </w:p>
    <w:p>
      <w:pPr>
        <w:numPr>
          <w:ilvl w:val="0"/>
          <w:numId w:val="21"/>
        </w:num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在即时通讯中可将聊天内容直接转任务，并生成任务卡，可对任务进行上报成果，领导可给出意见指导。</w:t>
      </w:r>
    </w:p>
    <w:p>
      <w:pPr>
        <w:numPr>
          <w:ilvl w:val="0"/>
          <w:numId w:val="21"/>
        </w:num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打通即时通讯与工作的隔阂，实现工作与沟通的深度融合；可将审批/事项/任务/日程/文档/报表/新闻/公告/讨论/调查/人员名片等信息直接发送到即时通讯的同事/群组，基于协同内容进行互动沟通，在即时通讯工具中可快速审批/发起事项，支持将在即时通讯中聊天记录直接回复到待办协同/表单/公文的处理意见中。</w:t>
      </w:r>
    </w:p>
    <w:p>
      <w:pPr>
        <w:numPr>
          <w:ilvl w:val="0"/>
          <w:numId w:val="21"/>
        </w:num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支持在沟通群（部门级、项目级）提供团队协作看板，群成员任务进度、关键报表结果、成员日程等一目了然；群主/群管理员可开启关闭群看板。</w:t>
      </w:r>
    </w:p>
    <w:p>
      <w:pPr>
        <w:pStyle w:val="6"/>
        <w:kinsoku/>
        <w:wordWrap/>
        <w:topLinePunct w:val="0"/>
        <w:autoSpaceDE/>
        <w:autoSpaceDN/>
        <w:bidi w:val="0"/>
        <w:spacing w:before="198" w:after="198" w:line="560" w:lineRule="exact"/>
      </w:pPr>
      <w:bookmarkStart w:id="168" w:name="_Toc10427"/>
      <w:r>
        <w:rPr>
          <w:rFonts w:hint="eastAsia"/>
        </w:rPr>
        <w:t>企业统一门户</w:t>
      </w:r>
      <w:bookmarkEnd w:id="168"/>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内部应用系统比较多并且用户纬度比较复杂，简化用户登录操作及提高身份安全与升级安全防护的需求比较突出。因此，通过建立统一用户管理体系、统一命名规范、应用安全接入规范的软件成为满足上述需求的基础保障。以跨域单点登录服务，逐步实现“一地注册，各地互认</w:t>
      </w:r>
      <w:r>
        <w:rPr>
          <w:rFonts w:hint="eastAsia" w:ascii="方正仿宋_GBK" w:hAnsi="方正仿宋_GBK"/>
          <w:snapToGrid w:val="0"/>
          <w:lang w:eastAsia="zh-CN"/>
        </w:rPr>
        <w:t>；</w:t>
      </w:r>
      <w:r>
        <w:rPr>
          <w:rFonts w:hint="eastAsia" w:ascii="方正仿宋_GBK" w:hAnsi="方正仿宋_GBK"/>
          <w:snapToGrid w:val="0"/>
        </w:rPr>
        <w:t>一次登录，全网通行”。以标准统一、安全可靠、互联互通、应用方便的用户身份认证应用支撑体系，全面提升服务集团用户体验水平及安全保障能力。</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为支持统一用户注册和认证体系集团数智化管控项目统一身份认证平台在标准规范与管理制度、安全与运维保障体系的基础上，针对不同的用户，提供不同的认证道渠，实现多种认证方式。达到一个平台，多种用户数据统一管理，多种用户数据统一采集和维护，多种渠道统一认证，多个业务系统统一登录的效果。</w:t>
      </w:r>
    </w:p>
    <w:p>
      <w:pPr>
        <w:pStyle w:val="7"/>
        <w:kinsoku/>
        <w:wordWrap/>
        <w:topLinePunct w:val="0"/>
        <w:autoSpaceDE/>
        <w:autoSpaceDN/>
        <w:bidi w:val="0"/>
        <w:spacing w:before="198" w:after="198" w:line="560" w:lineRule="exact"/>
        <w:rPr>
          <w:rFonts w:hint="default"/>
        </w:rPr>
      </w:pPr>
      <w:r>
        <w:t>统一用户注册</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面向集团</w:t>
      </w:r>
      <w:r>
        <w:rPr>
          <w:rFonts w:hint="eastAsia" w:ascii="方正仿宋_GBK" w:hAnsi="方正仿宋_GBK"/>
          <w:snapToGrid w:val="0"/>
          <w:lang w:val="en-US" w:eastAsia="zh-CN"/>
        </w:rPr>
        <w:t>公司</w:t>
      </w:r>
      <w:r>
        <w:rPr>
          <w:rFonts w:hint="eastAsia" w:ascii="方正仿宋_GBK" w:hAnsi="方正仿宋_GBK"/>
          <w:snapToGrid w:val="0"/>
        </w:rPr>
        <w:t>工作人员及互联网用户，为不同的用户提供不同的注册渠道，汇聚用户信息数据成统一的用户数据库。</w:t>
      </w:r>
    </w:p>
    <w:p>
      <w:pPr>
        <w:pStyle w:val="7"/>
        <w:kinsoku/>
        <w:wordWrap/>
        <w:topLinePunct w:val="0"/>
        <w:autoSpaceDE/>
        <w:autoSpaceDN/>
        <w:bidi w:val="0"/>
        <w:spacing w:before="198" w:after="198" w:line="560" w:lineRule="exact"/>
        <w:rPr>
          <w:rFonts w:hint="default"/>
        </w:rPr>
      </w:pPr>
      <w:r>
        <w:t>统一用户数据库</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提供集团用户信息数据汇聚、数据维护，为统一身份认证平台提供数据支撑。</w:t>
      </w:r>
    </w:p>
    <w:p>
      <w:pPr>
        <w:pStyle w:val="7"/>
        <w:kinsoku/>
        <w:wordWrap/>
        <w:topLinePunct w:val="0"/>
        <w:autoSpaceDE/>
        <w:autoSpaceDN/>
        <w:bidi w:val="0"/>
        <w:spacing w:before="198" w:after="198" w:line="560" w:lineRule="exact"/>
        <w:rPr>
          <w:rFonts w:hint="default"/>
        </w:rPr>
      </w:pPr>
      <w:r>
        <w:t>统一身份认证</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提供多种身份认证服务，根据认证程度不同，为身份认证用户分不同等级，不同等级的用户赋予不同的权限。同时提供统一用户采集、管理、维护及第三方平台认证集成等功能。</w:t>
      </w:r>
    </w:p>
    <w:p>
      <w:pPr>
        <w:pStyle w:val="7"/>
        <w:kinsoku/>
        <w:wordWrap/>
        <w:topLinePunct w:val="0"/>
        <w:autoSpaceDE/>
        <w:autoSpaceDN/>
        <w:bidi w:val="0"/>
        <w:spacing w:before="198" w:after="198" w:line="560" w:lineRule="exact"/>
        <w:rPr>
          <w:rFonts w:hint="default"/>
        </w:rPr>
      </w:pPr>
      <w:r>
        <w:t>身份认证渠道</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基于统一身份认证服务，提供微信认证、账号密码认证、短信认证、刷脸认证、CA认证，为业务应用服务提供认证支撑。</w:t>
      </w:r>
    </w:p>
    <w:p>
      <w:pPr>
        <w:pStyle w:val="7"/>
        <w:kinsoku/>
        <w:wordWrap/>
        <w:topLinePunct w:val="0"/>
        <w:autoSpaceDE/>
        <w:autoSpaceDN/>
        <w:bidi w:val="0"/>
        <w:spacing w:before="198" w:after="198" w:line="560" w:lineRule="exact"/>
        <w:rPr>
          <w:rFonts w:hint="default"/>
        </w:rPr>
      </w:pPr>
      <w:r>
        <w:t>各业务应用系统集成</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通过技术手段，建立网上统一身份认证体系，提升业务平台服务便捷化、个性化、智慧化、安全化是统一身份认证平台的最终目的。在进行产品设计时，始终注重用户需求和用户体验，力求达到账号减少，运维效率提高，安全性提高的效益，最大限度地提升和释放公共价值。</w:t>
      </w:r>
    </w:p>
    <w:p>
      <w:pPr>
        <w:pStyle w:val="6"/>
        <w:kinsoku/>
        <w:wordWrap/>
        <w:topLinePunct w:val="0"/>
        <w:autoSpaceDE/>
        <w:autoSpaceDN/>
        <w:bidi w:val="0"/>
        <w:spacing w:before="198" w:after="198" w:line="560" w:lineRule="exact"/>
      </w:pPr>
      <w:bookmarkStart w:id="169" w:name="_Toc32715"/>
      <w:r>
        <w:rPr>
          <w:rFonts w:hint="eastAsia"/>
        </w:rPr>
        <w:t>移动协同平台</w:t>
      </w:r>
      <w:bookmarkEnd w:id="169"/>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移动应用将集成数智化业务系统等功能模块的应用，可以为用户提供各种业务场景下的移动审批、单据处理等功能，方便客户随时随地进行业务类工作的处理。</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实现统一用户管理和权限控制、统一系统入口认证登录、统一常办业务办理流程、统一数据共享流程授权、统一代办业务信息推送、统一数据查询报表展示，为用户打造“平台之外无系统，系统之外无业务”的一体化移动工作环境。</w:t>
      </w:r>
    </w:p>
    <w:p>
      <w:pPr>
        <w:numPr>
          <w:ilvl w:val="0"/>
          <w:numId w:val="22"/>
        </w:num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个人首页</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为使用者直观显示常用功能：消息、待办任务。是功能菜单快键方式，能直观查看待办的审批任务以及未读消息。</w:t>
      </w:r>
    </w:p>
    <w:p>
      <w:pPr>
        <w:numPr>
          <w:ilvl w:val="0"/>
          <w:numId w:val="22"/>
        </w:num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我的应用</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显示待办任务、我的请求和已办任务，我的审批等应用。用户可根据自己的操作习惯设置我的应用显示的内容。实现用户的制单、审批、查询等主要功能操作。</w:t>
      </w:r>
    </w:p>
    <w:p>
      <w:pPr>
        <w:numPr>
          <w:ilvl w:val="0"/>
          <w:numId w:val="22"/>
        </w:num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我的查询</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系统提供分级授权功能，实时查询能。提供用户登录后，对自己的基础信息进行统一入口便捷式操作管理。</w:t>
      </w:r>
    </w:p>
    <w:p>
      <w:pPr>
        <w:numPr>
          <w:ilvl w:val="0"/>
          <w:numId w:val="22"/>
        </w:num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消息与信息发布</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登录系统后，采用邮件、公告等信息发布方式到统一界面分为新消息，已发送消息，已读消息，新消息位置显示当前新消息的数目，新消息查看后变为已读消息，新发送的消息发送后变为已发送消息。</w:t>
      </w:r>
    </w:p>
    <w:p>
      <w:pPr>
        <w:numPr>
          <w:ilvl w:val="0"/>
          <w:numId w:val="22"/>
        </w:num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移动分析</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以图形化的方式动态展示各类智能分析数据。根据不同的角色可以定制不同的查看内容，展示内容根据客户需求设置，分析主题可以与领导驾驶舱分析主题一致。</w:t>
      </w:r>
    </w:p>
    <w:p>
      <w:pPr>
        <w:pStyle w:val="6"/>
        <w:kinsoku/>
        <w:wordWrap/>
        <w:topLinePunct w:val="0"/>
        <w:autoSpaceDE/>
        <w:autoSpaceDN/>
        <w:bidi w:val="0"/>
        <w:spacing w:before="198" w:after="198" w:line="560" w:lineRule="exact"/>
      </w:pPr>
      <w:bookmarkStart w:id="170" w:name="_Toc27263"/>
      <w:r>
        <w:rPr>
          <w:rFonts w:hint="eastAsia"/>
        </w:rPr>
        <w:t>工作流平台</w:t>
      </w:r>
      <w:bookmarkEnd w:id="170"/>
    </w:p>
    <w:p>
      <w:pPr>
        <w:pStyle w:val="7"/>
        <w:kinsoku/>
        <w:wordWrap/>
        <w:topLinePunct w:val="0"/>
        <w:autoSpaceDE/>
        <w:autoSpaceDN/>
        <w:bidi w:val="0"/>
        <w:spacing w:before="198" w:after="198" w:line="560" w:lineRule="exact"/>
        <w:rPr>
          <w:rFonts w:hint="default"/>
        </w:rPr>
      </w:pPr>
      <w:r>
        <w:t>工作流管理</w:t>
      </w:r>
    </w:p>
    <w:p>
      <w:pPr>
        <w:kinsoku/>
        <w:wordWrap/>
        <w:topLinePunct w:val="0"/>
        <w:autoSpaceDE/>
        <w:autoSpaceDN/>
        <w:bidi w:val="0"/>
        <w:spacing w:line="560" w:lineRule="exact"/>
        <w:ind w:firstLine="604"/>
        <w:jc w:val="both"/>
        <w:rPr>
          <w:rFonts w:hint="eastAsia" w:ascii="方正仿宋_GBK" w:hAnsi="方正仿宋_GBK"/>
          <w:snapToGrid w:val="0"/>
        </w:rPr>
      </w:pPr>
      <w:r>
        <w:rPr>
          <w:rFonts w:hint="eastAsia" w:ascii="方正仿宋_GBK" w:hAnsi="方正仿宋_GBK"/>
          <w:snapToGrid w:val="0"/>
        </w:rPr>
        <w:t>工作流管理由工作流开发环境、工作流引擎、任务管理、监控与管理工具以及工作流构件库五个部分组成。通过开发环境快速构建业务流程以及业务处理表单；依托引擎实现流程流转；采用基于智能客户端的管理监控工具完成对流程的调整、监控与审计；通过丰富的业务构件库可以快速定制自己的应用，随需应变。</w:t>
      </w:r>
    </w:p>
    <w:p>
      <w:pPr>
        <w:pStyle w:val="2"/>
        <w:kinsoku/>
        <w:wordWrap/>
        <w:topLinePunct w:val="0"/>
        <w:autoSpaceDE/>
        <w:autoSpaceDN/>
        <w:bidi w:val="0"/>
        <w:spacing w:line="560" w:lineRule="exact"/>
        <w:rPr>
          <w:rFonts w:hint="default"/>
          <w:lang w:val="en-US" w:eastAsia="zh-CN"/>
        </w:rPr>
      </w:pPr>
      <w:r>
        <w:rPr>
          <w:rFonts w:hint="eastAsia"/>
          <w:lang w:val="en-US" w:eastAsia="zh-CN"/>
        </w:rPr>
        <w:t>通过工作流的配置，能够满足跨版块、跨系统、跨部门的业务数据交换，实现人与组织协作、人与单据协作、业务间协作、应用间协作、跨系统协作。以人为中心的工作流程平台逻辑架构示意图如下：</w:t>
      </w:r>
    </w:p>
    <w:p>
      <w:pPr>
        <w:kinsoku/>
        <w:wordWrap/>
        <w:topLinePunct w:val="0"/>
        <w:autoSpaceDE/>
        <w:autoSpaceDN/>
        <w:bidi w:val="0"/>
        <w:spacing w:line="560" w:lineRule="exact"/>
      </w:pPr>
      <w:r>
        <w:drawing>
          <wp:inline distT="0" distB="0" distL="114300" distR="114300">
            <wp:extent cx="4168140" cy="2110740"/>
            <wp:effectExtent l="0" t="0" r="3810" b="381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9"/>
                    <a:stretch>
                      <a:fillRect/>
                    </a:stretch>
                  </pic:blipFill>
                  <pic:spPr>
                    <a:xfrm>
                      <a:off x="0" y="0"/>
                      <a:ext cx="4168140" cy="2110740"/>
                    </a:xfrm>
                    <a:prstGeom prst="rect">
                      <a:avLst/>
                    </a:prstGeom>
                    <a:noFill/>
                    <a:ln>
                      <a:noFill/>
                    </a:ln>
                  </pic:spPr>
                </pic:pic>
              </a:graphicData>
            </a:graphic>
          </wp:inline>
        </w:drawing>
      </w:r>
    </w:p>
    <w:p>
      <w:pPr>
        <w:numPr>
          <w:ilvl w:val="0"/>
          <w:numId w:val="10"/>
        </w:numPr>
        <w:tabs>
          <w:tab w:val="left" w:pos="0"/>
        </w:tabs>
        <w:kinsoku/>
        <w:wordWrap/>
        <w:topLinePunct w:val="0"/>
        <w:autoSpaceDE/>
        <w:autoSpaceDN/>
        <w:bidi w:val="0"/>
        <w:spacing w:before="198" w:beforeLines="50" w:after="397" w:afterLines="100" w:line="560" w:lineRule="exact"/>
        <w:ind w:firstLineChars="0"/>
        <w:jc w:val="center"/>
        <w:rPr>
          <w:rFonts w:hint="default"/>
          <w:lang w:val="en-US" w:eastAsia="zh-CN"/>
        </w:rPr>
      </w:pPr>
      <w:r>
        <w:rPr>
          <w:rFonts w:hint="eastAsia"/>
          <w:lang w:val="en-US" w:eastAsia="zh-CN"/>
        </w:rPr>
        <w:t>工作流程平台逻辑架构图</w:t>
      </w:r>
    </w:p>
    <w:p>
      <w:pPr>
        <w:numPr>
          <w:ilvl w:val="0"/>
          <w:numId w:val="23"/>
        </w:num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工作流相关数据</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通过工作流相关数据来确定流程实力状态转换的条件，这些数据可被工作流应用程序访问并修改。</w:t>
      </w:r>
    </w:p>
    <w:p>
      <w:pPr>
        <w:numPr>
          <w:ilvl w:val="0"/>
          <w:numId w:val="23"/>
        </w:num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工作流控制数据</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工作流执行服务通过内部的控制数据来辨别每个流程实例或活动实例的状态，这些数据由工作流执行服务进行控制，用户、外部应用程序或其他的工作流执行服务不能对其直接进行读写操作，但它们可通过向工作流执行服务发消息请求来获得控制数据的内容。</w:t>
      </w:r>
    </w:p>
    <w:p>
      <w:pPr>
        <w:numPr>
          <w:ilvl w:val="0"/>
          <w:numId w:val="23"/>
        </w:num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工作流应用数据</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由外部应用程序操作的数据。它们是针对外部应用程序的，是企业完成具体的业务功能所需要的数据，如产品结构数据、订单数据等。</w:t>
      </w:r>
    </w:p>
    <w:p>
      <w:pPr>
        <w:numPr>
          <w:ilvl w:val="0"/>
          <w:numId w:val="23"/>
        </w:num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组织/角色数据</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是流程执行过程中参与的各种参与者（人、角色、组织等），工作流管理系统本身不直接定义这些数据，而是定义一份参与者的抽象结构，在与具体的业务系统挂接时通过业务系统的组织/角色来实现抽象结构。</w:t>
      </w:r>
    </w:p>
    <w:p>
      <w:pPr>
        <w:pStyle w:val="7"/>
        <w:kinsoku/>
        <w:wordWrap/>
        <w:topLinePunct w:val="0"/>
        <w:autoSpaceDE/>
        <w:autoSpaceDN/>
        <w:bidi w:val="0"/>
        <w:spacing w:before="198" w:after="198" w:line="560" w:lineRule="exact"/>
        <w:rPr>
          <w:rFonts w:hint="default"/>
        </w:rPr>
      </w:pPr>
      <w:r>
        <w:t>应用定制</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应用定制是基于组件化模板化的架构设计，可以让应用像搭建积木一样完成拼装，大幅加快应用制作的速度，让应用调整更容易，适应企业初建及发展变化中的不确定性。</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应用定制提供各种组件，如数据组件、逻辑组件、UI组件和各种控件，如扩展开发控件。具备强大的业务关系引擎可快速定义应用内部连接，通过定义跨应用的连接解决信息孤岛问题，快速完成应用系统的组装。</w:t>
      </w:r>
    </w:p>
    <w:p>
      <w:pPr>
        <w:numPr>
          <w:ilvl w:val="0"/>
          <w:numId w:val="24"/>
        </w:numPr>
        <w:kinsoku/>
        <w:wordWrap/>
        <w:topLinePunct w:val="0"/>
        <w:autoSpaceDE/>
        <w:autoSpaceDN/>
        <w:bidi w:val="0"/>
        <w:spacing w:line="560" w:lineRule="exact"/>
        <w:ind w:firstLine="604"/>
        <w:jc w:val="both"/>
        <w:rPr>
          <w:rFonts w:ascii="方正仿宋_GBK" w:hAnsi="方正仿宋_GBK"/>
          <w:snapToGrid w:val="0"/>
        </w:rPr>
      </w:pPr>
      <w:r>
        <w:rPr>
          <w:rFonts w:ascii="方正仿宋_GBK" w:hAnsi="方正仿宋_GBK"/>
          <w:snapToGrid w:val="0"/>
        </w:rPr>
        <w:t>基础数据维护</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基础数据维护主要用于业务基础数据的增、删、改、查、和供其他表单的数据引用。</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支持枚举、流水号和基础数据定义。</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支持基础数据的增加、修改、删除、导入和导出操作。</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支持列表项的自定义和组合查询自定义。</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支持对基础数据维护者的授权。</w:t>
      </w:r>
    </w:p>
    <w:p>
      <w:pPr>
        <w:numPr>
          <w:ilvl w:val="0"/>
          <w:numId w:val="24"/>
        </w:numPr>
        <w:kinsoku/>
        <w:wordWrap/>
        <w:topLinePunct w:val="0"/>
        <w:autoSpaceDE/>
        <w:autoSpaceDN/>
        <w:bidi w:val="0"/>
        <w:spacing w:line="560" w:lineRule="exact"/>
        <w:ind w:firstLine="604"/>
        <w:jc w:val="both"/>
        <w:rPr>
          <w:rFonts w:ascii="方正仿宋_GBK" w:hAnsi="方正仿宋_GBK"/>
          <w:snapToGrid w:val="0"/>
        </w:rPr>
      </w:pPr>
      <w:r>
        <w:rPr>
          <w:rFonts w:ascii="方正仿宋_GBK" w:hAnsi="方正仿宋_GBK"/>
          <w:snapToGrid w:val="0"/>
        </w:rPr>
        <w:t>表单设计</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表格和单据是农业投资集团日常工作及沟通过程中常用到的信息载体。</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表单设计支持单据定义、流程配置、人员和资源的直观描述等多种手段，以图形化、透明化、可视化的方式完成日常工作的控制执行。</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支持多列布局、表格布局。</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支持多种控件类型：基础控件、组织控件、业务控件、辅助类标签、自定义控件/按钮。</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支持按需定义表单格式、表单录入方式、表单数据类型和录入代码。</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支持表单数据的校验规则、唯一性、计算、关联，大小写转换等。</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支持第三方控件，如表单手写签名与盖章、二维码、地图控件。</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支持按需定义表单的业务处理流程、流程权限、数据操作权限。</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支持表单多视图与分段流程，支持表单数据项设置的动态流程节点。</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支持表单填写时的行复制、空行复制和行删除。</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采用结构化数据接口，通过扩展，支持其他系统接入。</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支持表单流程的标题可根据表单数据或系统变量动态生成。</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支持系统函数，如重复表分类合计/分类平均、取年/取月/取整、用户自定义函数等。</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支持系统变量，如系统日期变量/组织变量等。</w:t>
      </w:r>
    </w:p>
    <w:p>
      <w:pPr>
        <w:numPr>
          <w:ilvl w:val="0"/>
          <w:numId w:val="24"/>
        </w:numPr>
        <w:kinsoku/>
        <w:wordWrap/>
        <w:topLinePunct w:val="0"/>
        <w:autoSpaceDE/>
        <w:autoSpaceDN/>
        <w:bidi w:val="0"/>
        <w:spacing w:line="560" w:lineRule="exact"/>
        <w:ind w:firstLine="604"/>
        <w:jc w:val="both"/>
        <w:rPr>
          <w:rFonts w:ascii="方正仿宋_GBK" w:hAnsi="方正仿宋_GBK"/>
          <w:snapToGrid w:val="0"/>
        </w:rPr>
      </w:pPr>
      <w:r>
        <w:rPr>
          <w:rFonts w:ascii="方正仿宋_GBK" w:hAnsi="方正仿宋_GBK"/>
          <w:snapToGrid w:val="0"/>
        </w:rPr>
        <w:t>业务关系设计</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通过业务关系创建全方位的应用连接，应用内、跨应用、和第3方系统之间的连接。</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通过业务数据关联（手工关联、自动关联等）、业务数据触发（新建记录、更新记录、新建并更新记录）、流程触发多个数据联合机制，有效打通业务内外部各环节之间的隔断，降低人工干预，保证业务衔接的畅通和信息的完整。</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支持可视化业务关系设置。</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支持流程表单新建、更新底表记录。</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支持流程表单新建流程发起流程表单。</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支持底表新建、更新以及新建并更新其他底表记录。</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支持底表新建流程发起流程表单。</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支持底表新建、更新本表数据记录。</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支持表单发送自定义消息。</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支持手工选择流程表单数据记录。</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支持流程表单手工选择、自动关联底表数据记录。</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支持底表手工选择、自动关联底表数据记录。</w:t>
      </w:r>
    </w:p>
    <w:p>
      <w:pPr>
        <w:numPr>
          <w:ilvl w:val="0"/>
          <w:numId w:val="24"/>
        </w:numPr>
        <w:kinsoku/>
        <w:wordWrap/>
        <w:topLinePunct w:val="0"/>
        <w:autoSpaceDE/>
        <w:autoSpaceDN/>
        <w:bidi w:val="0"/>
        <w:spacing w:line="560" w:lineRule="exact"/>
        <w:ind w:firstLine="604"/>
        <w:jc w:val="both"/>
        <w:rPr>
          <w:rFonts w:ascii="方正仿宋_GBK" w:hAnsi="方正仿宋_GBK"/>
          <w:snapToGrid w:val="0"/>
        </w:rPr>
      </w:pPr>
      <w:r>
        <w:rPr>
          <w:rFonts w:ascii="方正仿宋_GBK" w:hAnsi="方正仿宋_GBK"/>
          <w:snapToGrid w:val="0"/>
        </w:rPr>
        <w:t>报表设置</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支持查询统计、报表分析、多样化展示、多终端访问。</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支持跨表查询统计。</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支持中间表及静态报表定义。</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支持增强数据表的展现形式：如列合并，表头冻结等。</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支持增强图表的展现，如饼状、柱状、折线图和雷达图等。</w:t>
      </w:r>
    </w:p>
    <w:p>
      <w:pPr>
        <w:numPr>
          <w:ilvl w:val="0"/>
          <w:numId w:val="24"/>
        </w:numPr>
        <w:kinsoku/>
        <w:wordWrap/>
        <w:topLinePunct w:val="0"/>
        <w:autoSpaceDE/>
        <w:autoSpaceDN/>
        <w:bidi w:val="0"/>
        <w:spacing w:line="560" w:lineRule="exact"/>
        <w:ind w:firstLine="604"/>
        <w:jc w:val="both"/>
        <w:rPr>
          <w:rFonts w:ascii="方正仿宋_GBK" w:hAnsi="方正仿宋_GBK"/>
          <w:snapToGrid w:val="0"/>
        </w:rPr>
      </w:pPr>
      <w:r>
        <w:rPr>
          <w:rFonts w:ascii="方正仿宋_GBK" w:hAnsi="方正仿宋_GBK"/>
          <w:snapToGrid w:val="0"/>
        </w:rPr>
        <w:t>业务空间</w:t>
      </w:r>
      <w:r>
        <w:rPr>
          <w:rFonts w:hint="eastAsia" w:ascii="方正仿宋_GBK" w:hAnsi="方正仿宋_GBK"/>
          <w:snapToGrid w:val="0"/>
        </w:rPr>
        <w:t>设计</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业务空间设计基于自定义业务空间模板，围绕业务角色和业务主题形成信息聚合展现和入口分类，突出数据和业务特点。通过既定的模板和栏目，可自定义数据源，快速设计出展现丰富，数据分明，业务连贯、体验优良的业务角色空间。</w:t>
      </w:r>
    </w:p>
    <w:p>
      <w:pPr>
        <w:pStyle w:val="6"/>
        <w:kinsoku/>
        <w:wordWrap/>
        <w:topLinePunct w:val="0"/>
        <w:autoSpaceDE/>
        <w:autoSpaceDN/>
        <w:bidi w:val="0"/>
        <w:spacing w:before="198" w:after="198" w:line="560" w:lineRule="exact"/>
      </w:pPr>
      <w:bookmarkStart w:id="171" w:name="_Toc8613"/>
      <w:r>
        <w:rPr>
          <w:rFonts w:hint="eastAsia"/>
        </w:rPr>
        <w:t>预警平台</w:t>
      </w:r>
      <w:bookmarkEnd w:id="171"/>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预警平台是为集团提供的一站式实时数据处理和规则预警平台，通过多源流式数据采集、异构数据跨库计算，实现高并发、低延迟、快速策略规则配置等需求。提供支撑业务创新和发展的高可靠、可复用、可扩展、可运营的能力。尤其在可运营方面，提供了任务统一监控、业务日志查询、任务智能分析。</w:t>
      </w:r>
    </w:p>
    <w:p>
      <w:pPr>
        <w:numPr>
          <w:ilvl w:val="0"/>
          <w:numId w:val="25"/>
        </w:num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指标计算</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指标计算模块分为3个子模块，包括数据接入、数据加工和数据质量。数据接入可以接入Mysql、Postgresql、Oracle等关系数据库、也可以接入kafak消息队列，hbase分布式key-value数据库，hive数据仓库等数据源的数据，对于kafka这种无边界数据源，使用的并非周期调度采集，而是实时采集，提高采集时效性。数据加工则是基于flink计算引擎，实现流批一体数据处理体系，既支持有边界数据的计算，比如传统关系型数据库；也支持无</w:t>
      </w:r>
      <w:r>
        <w:rPr>
          <w:rFonts w:hint="eastAsia" w:ascii="方正仿宋_GBK" w:hAnsi="方正仿宋_GBK"/>
          <w:snapToGrid w:val="0"/>
          <w:lang w:eastAsia="zh-CN"/>
        </w:rPr>
        <w:t>边界</w:t>
      </w:r>
      <w:r>
        <w:rPr>
          <w:rFonts w:hint="eastAsia" w:ascii="方正仿宋_GBK" w:hAnsi="方正仿宋_GBK"/>
          <w:snapToGrid w:val="0"/>
        </w:rPr>
        <w:t>数据的计算，比如消息队列，数据库binlog，数据加工屏蔽底层数据源、计算方式的差异，提供统一的开发界面，开发人员基于通用SQL语言进行数据加工处理，对数据进行清洗、标准化、维度表关联、聚合统计等。数据质量则是对数据加工后的数据进行数据质量鉴别，从准确性、合规性、一致性、重复性、及时性、完备性这6个质量维度进行质量检查，形成质量报告，用于后续定位、排查数据问题。</w:t>
      </w:r>
    </w:p>
    <w:p>
      <w:pPr>
        <w:numPr>
          <w:ilvl w:val="0"/>
          <w:numId w:val="25"/>
        </w:num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规则模型引擎</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规则模型引擎对指标计算模块生成的指标数据进行绑定，配置预警规则，其分为3个子模块，包括规则预警、消息存储、预警推送。</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1）规则预警子模块负责规则配置及解析功能，提供原子规则模型，提供已经创建好的各种业务域原子模型，比如应急场景下的易涝点预警，住建场景下的安全帽AI预警，生态场景下的大气站点预警等原子模型，可直接注入阈值进行使用；提供自定义规则模型，支持用户基于通用SQL语言定义规则模型、暴露阈值参数；提供模型复用能力，创建好的模型支持不同参数的多个作业并行执行，作业之间完全隔离互不影响；提供模型组合能力，支持以拖拉拽的形式将当前已有的告警规则进行组合，复用已有规则并形成一个新的告警规则。</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（2）消息存储子模块负责将规则预警子模块生成的预警消息进行存储，同时写入数据库和分布式消息队列，数据库用于检索历史预警消息，分布式消息队列用于实时推送预警消息。</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（3）预警推送子模块负责实时订阅分布式消息队列，当接收到新的告警消息时，实时将消息推送到相关的通知方，支持HTTP、JDBC、KAFKA、邮件等告警通知方式，根据业务</w:t>
      </w:r>
      <w:r>
        <w:rPr>
          <w:rFonts w:hint="eastAsia" w:ascii="方正仿宋_GBK" w:hAnsi="方正仿宋_GBK"/>
          <w:snapToGrid w:val="0"/>
          <w:lang w:eastAsia="zh-CN"/>
        </w:rPr>
        <w:t>方面</w:t>
      </w:r>
      <w:r>
        <w:rPr>
          <w:rFonts w:hint="eastAsia" w:ascii="方正仿宋_GBK" w:hAnsi="方正仿宋_GBK"/>
          <w:snapToGrid w:val="0"/>
        </w:rPr>
        <w:t>需求，也可进行定制化通知方式插件接入。</w:t>
      </w:r>
    </w:p>
    <w:p>
      <w:pPr>
        <w:pStyle w:val="5"/>
        <w:kinsoku/>
        <w:wordWrap/>
        <w:topLinePunct w:val="0"/>
        <w:autoSpaceDE/>
        <w:autoSpaceDN/>
        <w:bidi w:val="0"/>
        <w:spacing w:before="198" w:after="198" w:line="560" w:lineRule="exact"/>
        <w:rPr>
          <w:rFonts w:hint="default"/>
        </w:rPr>
      </w:pPr>
      <w:bookmarkStart w:id="172" w:name="_Toc417"/>
      <w:r>
        <w:t>应用功能设计（N应用）</w:t>
      </w:r>
      <w:bookmarkEnd w:id="172"/>
    </w:p>
    <w:p>
      <w:pPr>
        <w:pStyle w:val="6"/>
        <w:kinsoku/>
        <w:wordWrap/>
        <w:topLinePunct w:val="0"/>
        <w:autoSpaceDE/>
        <w:autoSpaceDN/>
        <w:bidi w:val="0"/>
        <w:spacing w:before="198" w:after="198" w:line="560" w:lineRule="exact"/>
      </w:pPr>
      <w:bookmarkStart w:id="173" w:name="_Toc2341"/>
      <w:bookmarkStart w:id="174" w:name="_Toc20437"/>
      <w:bookmarkStart w:id="175" w:name="_Toc7570"/>
      <w:bookmarkStart w:id="176" w:name="_Toc32093"/>
      <w:r>
        <w:rPr>
          <w:rFonts w:hint="eastAsia"/>
        </w:rPr>
        <w:t>数智化战略投资</w:t>
      </w:r>
      <w:bookmarkEnd w:id="173"/>
      <w:bookmarkEnd w:id="174"/>
      <w:bookmarkEnd w:id="175"/>
      <w:bookmarkEnd w:id="176"/>
    </w:p>
    <w:p>
      <w:pPr>
        <w:pStyle w:val="7"/>
        <w:kinsoku/>
        <w:wordWrap/>
        <w:topLinePunct w:val="0"/>
        <w:autoSpaceDE/>
        <w:autoSpaceDN/>
        <w:bidi w:val="0"/>
        <w:spacing w:before="198" w:after="198" w:line="560" w:lineRule="exact"/>
        <w:rPr>
          <w:rFonts w:hint="default"/>
        </w:rPr>
      </w:pPr>
      <w:r>
        <w:t>战略规划管理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数智化战略管理系统以集团战略体系为统领，通过战略管控，实现对战略制定、战略执行、战略评价的管理，确保集团战略落地。通过数智化战略管理系统，保证农投集团战略高水平、高效率执行，提高工作效率和管理水平，提升集团战略执行的绩效水平。</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战略规划管理系统主要包含</w:t>
      </w:r>
      <w:r>
        <w:rPr>
          <w:rFonts w:hint="eastAsia" w:ascii="方正仿宋_GBK" w:hAnsi="方正仿宋_GBK"/>
          <w:snapToGrid w:val="0"/>
          <w:lang w:eastAsia="zh-CN"/>
        </w:rPr>
        <w:t>的</w:t>
      </w:r>
      <w:r>
        <w:rPr>
          <w:rFonts w:hint="eastAsia" w:ascii="方正仿宋_GBK" w:hAnsi="方正仿宋_GBK"/>
          <w:snapToGrid w:val="0"/>
        </w:rPr>
        <w:t>功能有：战略规划制定、战略规划决策、战略规划目标分解、战略规划实施情况评估、</w:t>
      </w:r>
      <w:r>
        <w:rPr>
          <w:rFonts w:hint="eastAsia" w:ascii="方正仿宋_GBK" w:hAnsi="方正仿宋_GBK"/>
          <w:snapToGrid w:val="0"/>
          <w:lang w:val="en-US" w:eastAsia="zh-CN"/>
        </w:rPr>
        <w:t>战略规划调整、战略规划总结、</w:t>
      </w:r>
      <w:r>
        <w:rPr>
          <w:rFonts w:hint="eastAsia" w:ascii="方正仿宋_GBK" w:hAnsi="方正仿宋_GBK"/>
          <w:snapToGrid w:val="0"/>
        </w:rPr>
        <w:t>统计查询</w:t>
      </w:r>
      <w:r>
        <w:rPr>
          <w:rFonts w:hint="eastAsia" w:ascii="方正仿宋_GBK" w:hAnsi="方正仿宋_GBK"/>
          <w:snapToGrid w:val="0"/>
          <w:lang w:val="en-US" w:eastAsia="zh-CN"/>
        </w:rPr>
        <w:t>等</w:t>
      </w:r>
      <w:r>
        <w:rPr>
          <w:rFonts w:hint="eastAsia" w:ascii="方正仿宋_GBK" w:hAnsi="方正仿宋_GBK"/>
          <w:snapToGrid w:val="0"/>
        </w:rPr>
        <w:t>。</w:t>
      </w:r>
    </w:p>
    <w:p>
      <w:pPr>
        <w:pStyle w:val="8"/>
        <w:kinsoku/>
        <w:wordWrap/>
        <w:topLinePunct w:val="0"/>
        <w:autoSpaceDE/>
        <w:autoSpaceDN/>
        <w:bidi w:val="0"/>
        <w:spacing w:before="198" w:after="198" w:line="560" w:lineRule="exact"/>
      </w:pPr>
      <w:r>
        <w:rPr>
          <w:rFonts w:hint="eastAsia"/>
        </w:rPr>
        <w:t>战略规划制定</w:t>
      </w:r>
    </w:p>
    <w:p>
      <w:pPr>
        <w:kinsoku/>
        <w:wordWrap/>
        <w:topLinePunct w:val="0"/>
        <w:autoSpaceDE/>
        <w:autoSpaceDN/>
        <w:bidi w:val="0"/>
        <w:spacing w:line="560" w:lineRule="exact"/>
        <w:ind w:left="604" w:leftChars="200" w:firstLine="0" w:firstLineChars="0"/>
        <w:rPr>
          <w:rFonts w:ascii="方正仿宋_GBK" w:hAnsi="方正仿宋_GBK"/>
          <w:snapToGrid w:val="0"/>
        </w:rPr>
      </w:pPr>
      <w:r>
        <w:rPr>
          <w:rFonts w:hint="eastAsia" w:ascii="方正仿宋_GBK" w:hAnsi="方正仿宋_GBK"/>
          <w:snapToGrid w:val="0"/>
        </w:rPr>
        <w:t>1.战略发起</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以战略为主轴，通过发起或导入企业战略计划审批单，确定审批通过后，以企业、部门为要素，系统可通过配置自动生成企业、部门战略计划表，再根据部门涉及的战略计划导入企业、部门年度计划中，确保企业战略计划与部门战略计划交叉部门通过</w:t>
      </w:r>
      <w:r>
        <w:rPr>
          <w:rFonts w:hint="eastAsia" w:ascii="方正仿宋_GBK" w:hAnsi="方正仿宋_GBK"/>
          <w:snapToGrid w:val="0"/>
          <w:lang w:eastAsia="zh-CN"/>
        </w:rPr>
        <w:t>数智化</w:t>
      </w:r>
      <w:r>
        <w:rPr>
          <w:rFonts w:hint="eastAsia" w:ascii="方正仿宋_GBK" w:hAnsi="方正仿宋_GBK"/>
          <w:snapToGrid w:val="0"/>
        </w:rPr>
        <w:t>战略管理系统解决，未完成战略计划自动触发关联，再在年度战略计划中填写其他几类常态职能计划，满足日常工作需要。</w:t>
      </w:r>
    </w:p>
    <w:p>
      <w:pPr>
        <w:numPr>
          <w:ilvl w:val="0"/>
          <w:numId w:val="26"/>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关联部门/项目</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发起战略计划时，如果战略计划涉及多个企业或部门，可以选择关联企业、部门，将多个企业、部门通过计划为单位进行横向组织，从而确保整体计划的顺利实施。</w:t>
      </w:r>
    </w:p>
    <w:p>
      <w:pPr>
        <w:numPr>
          <w:ilvl w:val="0"/>
          <w:numId w:val="26"/>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附件上传</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系统支撑多种附件上传：excel、word、pdf、rar</w:t>
      </w:r>
      <w:r>
        <w:rPr>
          <w:rFonts w:hint="eastAsia" w:ascii="方正仿宋_GBK" w:hAnsi="方正仿宋_GBK"/>
          <w:snapToGrid w:val="0"/>
          <w:lang w:eastAsia="zh-CN"/>
        </w:rPr>
        <w:t>、</w:t>
      </w:r>
      <w:r>
        <w:rPr>
          <w:rFonts w:hint="eastAsia" w:ascii="方正仿宋_GBK" w:hAnsi="方正仿宋_GBK"/>
          <w:snapToGrid w:val="0"/>
          <w:lang w:val="en-US" w:eastAsia="zh-CN"/>
        </w:rPr>
        <w:t>ppt</w:t>
      </w:r>
      <w:r>
        <w:rPr>
          <w:rFonts w:hint="eastAsia" w:ascii="方正仿宋_GBK" w:hAnsi="方正仿宋_GBK"/>
          <w:snapToGrid w:val="0"/>
        </w:rPr>
        <w:t>等。</w:t>
      </w:r>
    </w:p>
    <w:p>
      <w:pPr>
        <w:numPr>
          <w:ilvl w:val="0"/>
          <w:numId w:val="26"/>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战略计划复制</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发起者可复制已提交战略计划，可在其基础上进行修改。</w:t>
      </w:r>
    </w:p>
    <w:p>
      <w:pPr>
        <w:numPr>
          <w:ilvl w:val="0"/>
          <w:numId w:val="26"/>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战略计划提取（拆分/汇总）</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企业、部门级战略计划按照一定维度例如时间、战略计划内容分类自动汇总成总战略计划。战略计划也可以按照一定条件进行手动、自动拆分。</w:t>
      </w:r>
    </w:p>
    <w:p>
      <w:pPr>
        <w:kinsoku/>
        <w:wordWrap/>
        <w:topLinePunct w:val="0"/>
        <w:autoSpaceDE/>
        <w:autoSpaceDN/>
        <w:bidi w:val="0"/>
        <w:spacing w:line="560" w:lineRule="exact"/>
        <w:ind w:left="604" w:leftChars="200" w:firstLine="0" w:firstLineChars="0"/>
        <w:rPr>
          <w:rFonts w:ascii="方正仿宋_GBK" w:hAnsi="方正仿宋_GBK"/>
          <w:snapToGrid w:val="0"/>
        </w:rPr>
      </w:pPr>
      <w:r>
        <w:rPr>
          <w:rFonts w:hint="eastAsia" w:ascii="方正仿宋_GBK" w:hAnsi="方正仿宋_GBK"/>
          <w:snapToGrid w:val="0"/>
        </w:rPr>
        <w:t>2.战略提醒计划与预警</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系统支持应用平台的消息提醒功能进行提醒。提醒包含PC消息提醒，APP消息提醒</w:t>
      </w:r>
      <w:r>
        <w:rPr>
          <w:rFonts w:hint="eastAsia" w:ascii="方正仿宋_GBK" w:hAnsi="方正仿宋_GBK"/>
          <w:snapToGrid w:val="0"/>
          <w:lang w:val="en-US" w:eastAsia="zh-CN"/>
        </w:rPr>
        <w:t>等</w:t>
      </w:r>
      <w:r>
        <w:rPr>
          <w:rFonts w:hint="eastAsia" w:ascii="方正仿宋_GBK" w:hAnsi="方正仿宋_GBK"/>
          <w:snapToGrid w:val="0"/>
        </w:rPr>
        <w:t>。支持对周期性战略计划设置预警值，战略计划的执行情况进行预警提醒，超期预警，并通过可视化界面进行配置展现。</w:t>
      </w:r>
    </w:p>
    <w:p>
      <w:pPr>
        <w:kinsoku/>
        <w:wordWrap/>
        <w:topLinePunct w:val="0"/>
        <w:autoSpaceDE/>
        <w:autoSpaceDN/>
        <w:bidi w:val="0"/>
        <w:spacing w:line="560" w:lineRule="exact"/>
        <w:ind w:left="604" w:leftChars="200" w:firstLine="0" w:firstLineChars="0"/>
        <w:rPr>
          <w:rFonts w:ascii="方正仿宋_GBK" w:hAnsi="方正仿宋_GBK"/>
          <w:snapToGrid w:val="0"/>
        </w:rPr>
      </w:pPr>
      <w:r>
        <w:rPr>
          <w:rFonts w:hint="eastAsia" w:ascii="方正仿宋_GBK" w:hAnsi="方正仿宋_GBK"/>
          <w:snapToGrid w:val="0"/>
        </w:rPr>
        <w:t>3.战略计划修改与陈述</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管理部门或部门分管领导审阅（视操作设置与审批流程的情况）完成后开始战略执行。战略执行过程中可以针对战略计划内容进行添加及修改，不能进行删除。</w:t>
      </w:r>
    </w:p>
    <w:p>
      <w:pPr>
        <w:pStyle w:val="8"/>
        <w:kinsoku/>
        <w:wordWrap/>
        <w:topLinePunct w:val="0"/>
        <w:autoSpaceDE/>
        <w:autoSpaceDN/>
        <w:bidi w:val="0"/>
        <w:spacing w:before="198" w:after="198" w:line="560" w:lineRule="exact"/>
      </w:pPr>
      <w:r>
        <w:rPr>
          <w:rFonts w:hint="eastAsia"/>
        </w:rPr>
        <w:t>战略规划决策</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系统能够支持基于战略的任务发布、审核、反馈等全程在线管理，能够通过规范的流程将战略规划的决策过程</w:t>
      </w:r>
      <w:r>
        <w:rPr>
          <w:rFonts w:hint="eastAsia" w:ascii="方正仿宋_GBK" w:hAnsi="方正仿宋_GBK"/>
          <w:snapToGrid w:val="0"/>
          <w:lang w:eastAsia="zh-CN"/>
        </w:rPr>
        <w:t>清晰地展示</w:t>
      </w:r>
      <w:r>
        <w:rPr>
          <w:rFonts w:hint="eastAsia" w:ascii="方正仿宋_GBK" w:hAnsi="方正仿宋_GBK"/>
          <w:snapToGrid w:val="0"/>
        </w:rPr>
        <w:t>出来。</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1.战略决策查询</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支持战略决策功能的查询、批量提交、删除、附件查看、导出等功能。</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2.资料上传</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支持决策资料的上传。</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3.战略决策变更</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支持对决策变更处理，变更后以版本形式进行存储。</w:t>
      </w:r>
    </w:p>
    <w:p>
      <w:pPr>
        <w:pStyle w:val="8"/>
        <w:kinsoku/>
        <w:wordWrap/>
        <w:topLinePunct w:val="0"/>
        <w:autoSpaceDE/>
        <w:autoSpaceDN/>
        <w:bidi w:val="0"/>
        <w:spacing w:before="198" w:after="198" w:line="560" w:lineRule="exact"/>
      </w:pPr>
      <w:r>
        <w:rPr>
          <w:rFonts w:hint="eastAsia"/>
        </w:rPr>
        <w:t>战略规划目标分解</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支持将战略规划目标层层分解到</w:t>
      </w:r>
      <w:r>
        <w:rPr>
          <w:rFonts w:hint="eastAsia" w:ascii="方正仿宋_GBK" w:hAnsi="方正仿宋_GBK"/>
          <w:snapToGrid w:val="0"/>
          <w:lang w:val="en-US" w:eastAsia="zh-CN"/>
        </w:rPr>
        <w:t>集团</w:t>
      </w:r>
      <w:r>
        <w:rPr>
          <w:rFonts w:hint="eastAsia" w:ascii="方正仿宋_GBK" w:hAnsi="方正仿宋_GBK"/>
          <w:snapToGrid w:val="0"/>
        </w:rPr>
        <w:t>部门、</w:t>
      </w:r>
      <w:r>
        <w:rPr>
          <w:rFonts w:hint="eastAsia" w:ascii="方正仿宋_GBK" w:hAnsi="方正仿宋_GBK"/>
          <w:snapToGrid w:val="0"/>
          <w:lang w:val="en-US" w:eastAsia="zh-CN"/>
        </w:rPr>
        <w:t>分子公司</w:t>
      </w:r>
      <w:r>
        <w:rPr>
          <w:rFonts w:hint="eastAsia" w:ascii="方正仿宋_GBK" w:hAnsi="方正仿宋_GBK"/>
          <w:snapToGrid w:val="0"/>
        </w:rPr>
        <w:t>、员工，确保全员战略目标统一。通过制定流程体系，让战略体系的各项指标放在规范的管理流程节点上，通过流程解决指标的执行问题，同时能够将多类工作问题描述、责任人、解决方法等进行卡片式管理，促进跨部门、多层级高效协同。</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1.目标下达</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该功能支持对公司整体战略目标按照组织、时间两个维度进行分解并发布，通过目标明确每个岗位的职责，保证岗位职责与公司目标的对接，确保个人的努力及成效与公司期望一致。</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2.计划报告</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该功能支持从组织角度上可由下而上的计划合并、员工各自制定周期性的工作计划、并可以从目标中自动生成工作计划，从而使工作计划能更有价值并促使达成目标。</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3.任务执行</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该功能支持根据工作计划报告进一步分解到工作任务，打造以任务执行为核心的目标落地体系，对计划内的工作反馈执行效果、同时执行过程的信息随时记录。</w:t>
      </w:r>
    </w:p>
    <w:p>
      <w:pPr>
        <w:pStyle w:val="8"/>
        <w:kinsoku/>
        <w:wordWrap/>
        <w:topLinePunct w:val="0"/>
        <w:autoSpaceDE/>
        <w:autoSpaceDN/>
        <w:bidi w:val="0"/>
        <w:spacing w:before="198" w:after="198" w:line="560" w:lineRule="exact"/>
      </w:pPr>
      <w:r>
        <w:rPr>
          <w:rFonts w:hint="eastAsia"/>
        </w:rPr>
        <w:t>战略规划实施情况评估</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支持在线多维评估，形成正确导向和激励。评估情况进行分类，再将评估结果分配给相关单位，以形成管理闭环。</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1.实施情况评估</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该功能支持对下属单位的战略规划执行情况的评估，强化以任务执行的结果为导向，以结果作为考核的真实依据。</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2.实施情况分配</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该功能支持对将战略规划实施情况评估结果分配给各单位和部门，强化以任务执行的结果为导向，以结果作为考核的真实依据。</w:t>
      </w:r>
    </w:p>
    <w:p>
      <w:pPr>
        <w:pStyle w:val="8"/>
        <w:kinsoku/>
        <w:wordWrap/>
        <w:topLinePunct w:val="0"/>
        <w:autoSpaceDE/>
        <w:autoSpaceDN/>
        <w:bidi w:val="0"/>
        <w:spacing w:before="198" w:after="198" w:line="560" w:lineRule="exact"/>
      </w:pPr>
      <w:r>
        <w:rPr>
          <w:rFonts w:hint="eastAsia"/>
          <w:lang w:val="en-US" w:eastAsia="zh-CN"/>
        </w:rPr>
        <w:t>战略规划调整</w:t>
      </w:r>
    </w:p>
    <w:p>
      <w:pPr>
        <w:pStyle w:val="2"/>
        <w:kinsoku/>
        <w:wordWrap/>
        <w:topLinePunct w:val="0"/>
        <w:autoSpaceDE/>
        <w:autoSpaceDN/>
        <w:bidi w:val="0"/>
        <w:spacing w:line="560" w:lineRule="exact"/>
        <w:rPr>
          <w:rFonts w:hint="eastAsia"/>
          <w:lang w:val="en-US" w:eastAsia="zh-CN"/>
        </w:rPr>
      </w:pPr>
      <w:r>
        <w:rPr>
          <w:rFonts w:hint="eastAsia" w:ascii="方正仿宋_GBK" w:hAnsi="方正仿宋_GBK"/>
          <w:snapToGrid w:val="0"/>
        </w:rPr>
        <w:t>系统支持</w:t>
      </w:r>
      <w:r>
        <w:rPr>
          <w:rFonts w:hint="eastAsia" w:ascii="方正仿宋_GBK" w:hAnsi="方正仿宋_GBK"/>
          <w:snapToGrid w:val="0"/>
          <w:lang w:val="en-US" w:eastAsia="zh-CN"/>
        </w:rPr>
        <w:t>对战略规划进行调整，并将调整后的战略规划进行发布，确保战略规划满足集团最新的发展需要</w:t>
      </w:r>
      <w:r>
        <w:rPr>
          <w:rFonts w:hint="eastAsia" w:ascii="方正仿宋_GBK" w:hAnsi="方正仿宋_GBK"/>
          <w:snapToGrid w:val="0"/>
        </w:rPr>
        <w:t>。</w:t>
      </w:r>
    </w:p>
    <w:p>
      <w:pPr>
        <w:pStyle w:val="8"/>
        <w:kinsoku/>
        <w:wordWrap/>
        <w:topLinePunct w:val="0"/>
        <w:autoSpaceDE/>
        <w:autoSpaceDN/>
        <w:bidi w:val="0"/>
        <w:spacing w:line="560" w:lineRule="exact"/>
      </w:pPr>
      <w:r>
        <w:rPr>
          <w:rFonts w:hint="eastAsia"/>
          <w:lang w:val="en-US" w:eastAsia="zh-CN"/>
        </w:rPr>
        <w:t>战略规划总结</w:t>
      </w:r>
    </w:p>
    <w:p>
      <w:pPr>
        <w:pStyle w:val="2"/>
        <w:kinsoku/>
        <w:wordWrap/>
        <w:topLinePunct w:val="0"/>
        <w:autoSpaceDE/>
        <w:autoSpaceDN/>
        <w:bidi w:val="0"/>
        <w:spacing w:line="560" w:lineRule="exact"/>
        <w:rPr>
          <w:rFonts w:hint="default" w:eastAsia="方正仿宋_GBK"/>
          <w:lang w:val="en-US" w:eastAsia="zh-CN"/>
        </w:rPr>
      </w:pPr>
      <w:r>
        <w:rPr>
          <w:rFonts w:hint="eastAsia"/>
          <w:lang w:val="en-US" w:eastAsia="zh-CN"/>
        </w:rPr>
        <w:t>系统支持对中长期的战略规划进行总结，归档总结报告。支持系统内预置战略规划总结模板。</w:t>
      </w:r>
    </w:p>
    <w:p>
      <w:pPr>
        <w:pStyle w:val="8"/>
        <w:kinsoku/>
        <w:wordWrap/>
        <w:topLinePunct w:val="0"/>
        <w:autoSpaceDE/>
        <w:autoSpaceDN/>
        <w:bidi w:val="0"/>
        <w:spacing w:before="198" w:after="198" w:line="560" w:lineRule="exact"/>
      </w:pPr>
      <w:r>
        <w:rPr>
          <w:rFonts w:hint="eastAsia"/>
        </w:rPr>
        <w:t>统计查询</w:t>
      </w:r>
    </w:p>
    <w:p>
      <w:pPr>
        <w:kinsoku/>
        <w:wordWrap/>
        <w:topLinePunct w:val="0"/>
        <w:autoSpaceDE/>
        <w:autoSpaceDN/>
        <w:bidi w:val="0"/>
        <w:spacing w:line="560" w:lineRule="exact"/>
        <w:ind w:firstLine="604"/>
        <w:rPr>
          <w:rFonts w:hint="default" w:ascii="方正仿宋_GBK" w:hAnsi="方正仿宋_GBK" w:eastAsia="方正仿宋_GBK"/>
          <w:lang w:val="en-US" w:eastAsia="zh-CN"/>
        </w:rPr>
      </w:pPr>
      <w:r>
        <w:rPr>
          <w:rFonts w:hint="eastAsia" w:ascii="方正仿宋_GBK" w:hAnsi="方正仿宋_GBK"/>
          <w:snapToGrid w:val="0"/>
        </w:rPr>
        <w:t>通过全景图，最高领导可以实时查看整体战略的执行状态，部门管理者可以查询本单位的战略执行状态，个人可以实时查看自己与战略相关的工作完成状态，全景图包括组织结构图、战略地图。还能通过饼图、柱形图、图表、仪表盘、工作汇报等格式，展示出当前战略执行情况。</w:t>
      </w:r>
      <w:r>
        <w:rPr>
          <w:rFonts w:hint="eastAsia" w:ascii="方正仿宋_GBK" w:hAnsi="方正仿宋_GBK"/>
          <w:snapToGrid w:val="0"/>
          <w:lang w:val="en-US" w:eastAsia="zh-CN"/>
        </w:rPr>
        <w:t>支持战略统计情况的导出。</w:t>
      </w:r>
    </w:p>
    <w:p>
      <w:pPr>
        <w:pStyle w:val="7"/>
        <w:kinsoku/>
        <w:wordWrap/>
        <w:topLinePunct w:val="0"/>
        <w:autoSpaceDE/>
        <w:autoSpaceDN/>
        <w:bidi w:val="0"/>
        <w:spacing w:before="198" w:after="198" w:line="560" w:lineRule="exact"/>
        <w:rPr>
          <w:rFonts w:hint="default"/>
        </w:rPr>
      </w:pPr>
      <w:r>
        <w:t>投资管理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通过投资管理系统实现投资过程管理的标准化、规范化、流程化，可提升集团投资项目管理水平。投资管理系统包括投资业务投前、投中、投后、退出业务全生命周期管理。系统可灵活配置，适应多种业务场景，支持政府交办类投资项目、市场化投资项目以及纾困项目管理，提高员工工作效率。在投资过程中，可将风控合规点嵌入投资业务各个环节，有效防范各类风险发生。</w:t>
      </w:r>
    </w:p>
    <w:p>
      <w:pPr>
        <w:pStyle w:val="8"/>
        <w:kinsoku/>
        <w:wordWrap/>
        <w:topLinePunct w:val="0"/>
        <w:autoSpaceDE/>
        <w:autoSpaceDN/>
        <w:bidi w:val="0"/>
        <w:spacing w:before="198" w:after="198" w:line="560" w:lineRule="exact"/>
      </w:pPr>
      <w:r>
        <w:rPr>
          <w:rFonts w:hint="eastAsia"/>
        </w:rPr>
        <w:t>项目库管理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储备项目管理主要应用于企业各个项目单位有了投资线索后，填报投资线索的信息，即储备项目，登记投资类型、投资方向、投资项目名称、预计投资规模等信息，支持对储备项目的登记申报以及状态变更。</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1.储备项目</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储备项目管理主要应用于企业各个项目单位有了投资线索后，填报投资线索的信息，即储备项目，登记投资类型、投资方向、投资项目名称、预计投资规模等信息，该功能支持对储备项目登记申报，支持对储备项目状态变更。</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新增储备项目，进行储备项目管理，维护项目的投资类型、投资组织、储备项目编号、名称、单据状态、起止时间等信息，支持查询符合条件的储备项目。</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2.项目状态变更</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新增项目状态变更，进行项目状态变更管理，支持维护项目的投资组织、项目编号、名称、单据状态、起止时间等信息，支持查询符合条件的状态变更项目。</w:t>
      </w:r>
    </w:p>
    <w:p>
      <w:pPr>
        <w:kinsoku/>
        <w:wordWrap/>
        <w:topLinePunct w:val="0"/>
        <w:autoSpaceDE/>
        <w:autoSpaceDN/>
        <w:bidi w:val="0"/>
        <w:spacing w:line="560" w:lineRule="exact"/>
        <w:ind w:firstLine="604"/>
        <w:rPr>
          <w:rFonts w:hint="default" w:ascii="方正仿宋_GBK" w:hAnsi="方正仿宋_GBK" w:eastAsia="方正仿宋_GBK"/>
          <w:highlight w:val="none"/>
          <w:lang w:val="en-US" w:eastAsia="zh-CN"/>
        </w:rPr>
      </w:pPr>
      <w:r>
        <w:rPr>
          <w:rFonts w:hint="eastAsia" w:ascii="方正仿宋_GBK" w:hAnsi="方正仿宋_GBK"/>
          <w:highlight w:val="none"/>
          <w:lang w:val="en-US" w:eastAsia="zh-CN"/>
        </w:rPr>
        <w:t>3.项目信息管理</w:t>
      </w:r>
    </w:p>
    <w:p>
      <w:pPr>
        <w:kinsoku/>
        <w:wordWrap/>
        <w:topLinePunct w:val="0"/>
        <w:autoSpaceDE/>
        <w:autoSpaceDN/>
        <w:bidi w:val="0"/>
        <w:spacing w:line="560" w:lineRule="exact"/>
        <w:ind w:firstLine="604"/>
        <w:rPr>
          <w:rFonts w:ascii="方正仿宋_GBK" w:hAnsi="方正仿宋_GBK"/>
          <w:highlight w:val="none"/>
        </w:rPr>
      </w:pPr>
      <w:r>
        <w:rPr>
          <w:rFonts w:hint="eastAsia" w:ascii="方正仿宋_GBK" w:hAnsi="方正仿宋_GBK"/>
          <w:highlight w:val="none"/>
        </w:rPr>
        <w:t>支持项目</w:t>
      </w:r>
      <w:r>
        <w:rPr>
          <w:rFonts w:hint="eastAsia" w:ascii="方正仿宋_GBK" w:hAnsi="方正仿宋_GBK"/>
          <w:highlight w:val="none"/>
          <w:lang w:eastAsia="zh-CN"/>
        </w:rPr>
        <w:t>多维度</w:t>
      </w:r>
      <w:r>
        <w:rPr>
          <w:rFonts w:hint="eastAsia" w:ascii="方正仿宋_GBK" w:hAnsi="方正仿宋_GBK"/>
          <w:highlight w:val="none"/>
        </w:rPr>
        <w:t>分类管理，支持固定资产项目投资、股权项目投资、基金投资项目、设立基金项目、房地产投入项目、其他类项目等投资类型，针对不同类型的项目，进行项目信息管理，包括项目基本信息、投资主体信息、经济信息（关键指标）等；并支持上传附件信息。</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lang w:val="en-US" w:eastAsia="zh-CN"/>
        </w:rPr>
        <w:t>4</w:t>
      </w:r>
      <w:r>
        <w:rPr>
          <w:rFonts w:hint="eastAsia" w:ascii="方正仿宋_GBK" w:hAnsi="方正仿宋_GBK"/>
        </w:rPr>
        <w:t>.三年滚动规划</w:t>
      </w:r>
    </w:p>
    <w:p>
      <w:pPr>
        <w:kinsoku/>
        <w:wordWrap/>
        <w:topLinePunct w:val="0"/>
        <w:autoSpaceDE/>
        <w:autoSpaceDN/>
        <w:bidi w:val="0"/>
        <w:spacing w:line="560" w:lineRule="exact"/>
        <w:ind w:firstLine="604"/>
        <w:rPr>
          <w:rFonts w:ascii="方正仿宋_GBK" w:hAnsi="方正仿宋_GBK"/>
        </w:rPr>
      </w:pPr>
      <w:r>
        <w:rPr>
          <w:rFonts w:ascii="方正仿宋_GBK" w:hAnsi="方正仿宋_GBK"/>
        </w:rPr>
        <w:t>三年滚动规划按照分期制定、近细远粗、执行反馈、定期调整等方法，实现</w:t>
      </w:r>
      <w:r>
        <w:rPr>
          <w:rFonts w:hint="eastAsia" w:ascii="方正仿宋_GBK" w:hAnsi="方正仿宋_GBK"/>
          <w:lang w:val="en-US" w:eastAsia="zh-CN"/>
        </w:rPr>
        <w:t>集团</w:t>
      </w:r>
      <w:r>
        <w:rPr>
          <w:rFonts w:ascii="方正仿宋_GBK" w:hAnsi="方正仿宋_GBK"/>
        </w:rPr>
        <w:t>对纳入三年滚动规划项目进行管理，包括三年滚动规划项目申报、三年滚动规划项目审核等功能。</w:t>
      </w:r>
    </w:p>
    <w:p>
      <w:pPr>
        <w:pStyle w:val="8"/>
        <w:kinsoku/>
        <w:wordWrap/>
        <w:topLinePunct w:val="0"/>
        <w:autoSpaceDE/>
        <w:autoSpaceDN/>
        <w:bidi w:val="0"/>
        <w:spacing w:before="198" w:after="198" w:line="560" w:lineRule="exact"/>
      </w:pPr>
      <w:r>
        <w:rPr>
          <w:rFonts w:hint="eastAsia"/>
        </w:rPr>
        <w:t>年度投资计划</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可以根据集团战略计划对比，进行年度投资计划制定，提供在线编辑、修改、查阅等功能。系统应能够支持预算体系的建立，能够自定义预算费用的类型，提供统一预算口径的多级基础设置，可通过手动输入和EXCEL表单导入完成预算数据的录入，并且可以支持报销等支出表单的预算数据的调用，授权不同级别的组织和岗位进行查看和调用。</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1.投资计划编制</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由各责任单位对投资计划进行编制维护。投资计划一般由各责任单位将本年度的计划投资的规划项目或者跨年度本年度计划投资的项目上报，支持审批操作，支持投资计划的调整功能，已上报的计划如需调整，需上报审核单位退回才可进行调整。</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2.投资计划分解</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支持按照季度、月度分解年度投资计划。</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3.投资计划汇总</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按照产业单位汇总各项目单位投资计划，并支持审批功能。</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4.投资计划调整</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支持年度投资计划变更及半年度调整功能，并对调整的计划记录历史版本，可以进行多版本对比分析。</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5.投资计划查询</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提供对投资计划的查询分析功能。</w:t>
      </w:r>
    </w:p>
    <w:p>
      <w:pPr>
        <w:pStyle w:val="8"/>
        <w:kinsoku/>
        <w:wordWrap/>
        <w:topLinePunct w:val="0"/>
        <w:autoSpaceDE/>
        <w:autoSpaceDN/>
        <w:bidi w:val="0"/>
        <w:spacing w:before="198" w:after="198" w:line="560" w:lineRule="exact"/>
      </w:pPr>
      <w:r>
        <w:rPr>
          <w:rFonts w:hint="eastAsia"/>
        </w:rPr>
        <w:t>前期工作</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针对固定资产投资项目中，在正式立项决策前，需要进行投前论证、可行性研究、项目建议书等环节，为立项决策提供支持；而且不同类型的项目的前期流程存在比较大的差异。系统支持按照不同投资类型定义前期流程；支持定义不同前期流程中的流程节点，并可以发布独立功能节点；支持前期流程功能节点控制节点状态；支持图形化直观显示前期流程的状态。</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股权投资管理：投资前期，包括投前调研、预审立项、正式尽调、正式立项、投审决策、出资管理和文件管理，为投资前期提供内容进行分析决策。</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1.流程设置</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提供业务流程配置功能，支持针对不同的投资类型，分别定义投资业务流程，也可以针对某个流程定义该流程下的节点，例如针对前期流程，可自定义前期流程。系统预置长期股权投资、固定资产投资两类项目业务流程配置功能。</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2.流程办理</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系统应预置长期股权投资、固定资产投资两种流程。同时支持在对应的前期流程功能组下可选择该投资类型下的储备项目进行前期流程办理。</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3.流程导航</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流程导航作为业务流程的展示界面，可针对在流程设置功能下定义的业务流程以图形化的形式进行展示，支持对业务单据附件的查看。提供前期流程的跟踪功能，依据系统预制或客户定制的前期流程节点，展示项目的前期流程工作，支持对前期流程节点进行暂定办理等操作，通过不同颜色标记不同的节点状态。</w:t>
      </w:r>
    </w:p>
    <w:p>
      <w:pPr>
        <w:pStyle w:val="8"/>
        <w:kinsoku/>
        <w:wordWrap/>
        <w:topLinePunct w:val="0"/>
        <w:autoSpaceDE/>
        <w:autoSpaceDN/>
        <w:bidi w:val="0"/>
        <w:spacing w:before="198" w:after="198" w:line="560" w:lineRule="exact"/>
      </w:pPr>
      <w:r>
        <w:rPr>
          <w:rFonts w:hint="eastAsia"/>
        </w:rPr>
        <w:t>决策管理</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经研究论证可行的项目，由项目单位或项目建议单位准备相关核准材料，进行核准流程审批。立项决策支持实现对投资项目立项决策情况的录入维护，支持从投资储备项目进行项目引入，支持按照不同项目类型展示不同项目决策界面，支持立项决策功能的查询、批量提交、删除、附件查看、导出等功能并支持立项决策资料的上传。</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立项决策支持实现对投资项目立项决策情况的录入维护，支持从投资储备项目进行项目引入，支持按照不同项目类型展示不同项目决策界面，支持立项决策功能的查询、批量提交、删除、附件查看、导出等功能并支持立项决策资料的上传，支持对投资项目变更处理，变更后以版本形式进行存储。</w:t>
      </w:r>
    </w:p>
    <w:p>
      <w:pPr>
        <w:pStyle w:val="8"/>
        <w:kinsoku/>
        <w:wordWrap/>
        <w:topLinePunct w:val="0"/>
        <w:autoSpaceDE/>
        <w:autoSpaceDN/>
        <w:bidi w:val="0"/>
        <w:spacing w:before="198" w:after="198" w:line="560" w:lineRule="exact"/>
      </w:pPr>
      <w:r>
        <w:rPr>
          <w:rFonts w:hint="eastAsia"/>
        </w:rPr>
        <w:t>过程监管</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对投资过程进行线上监管，主要应包括：招投标结果管理、进度管理、变更管理、验收管理、结算及决算管理等。</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1.招投标结果管理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招投标结果管理支持对企业所有的招投标结果信息进行管理。又经办人员将实际的结果录入系统中，进行查询分析。</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2.进度管理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进度管理模块支持项目计划完成后，项目实施过程中的进度填报、费用实际投入情况归集等，通过对项目进度的实时掌控，把握项目进度，提高工作效率，帮助企业及时了解项目情况。</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进度管理主要对项目进度进行管理，主要功能包括进度填报、项目经理进度填报、项目成员进度填报、项目费用</w:t>
      </w:r>
      <w:r>
        <w:rPr>
          <w:rFonts w:hint="eastAsia" w:ascii="方正仿宋_GBK" w:hAnsi="方正仿宋_GBK"/>
          <w:snapToGrid w:val="0"/>
          <w:lang w:eastAsia="zh-CN"/>
        </w:rPr>
        <w:t>，</w:t>
      </w:r>
      <w:r>
        <w:rPr>
          <w:rFonts w:hint="eastAsia" w:ascii="方正仿宋_GBK" w:hAnsi="方正仿宋_GBK"/>
          <w:snapToGrid w:val="0"/>
          <w:lang w:val="en-US" w:eastAsia="zh-CN"/>
        </w:rPr>
        <w:t>支持设置实施过程中的重要节点提醒，</w:t>
      </w:r>
      <w:r>
        <w:rPr>
          <w:rFonts w:hint="eastAsia" w:ascii="方正仿宋_GBK" w:hAnsi="方正仿宋_GBK"/>
          <w:snapToGrid w:val="0"/>
          <w:lang w:eastAsia="zh-CN"/>
        </w:rPr>
        <w:t>包含核准、审批、初步设计、施工图设计、隐蔽工程等，</w:t>
      </w:r>
      <w:r>
        <w:rPr>
          <w:rFonts w:hint="eastAsia" w:ascii="方正仿宋_GBK" w:hAnsi="方正仿宋_GBK"/>
          <w:snapToGrid w:val="0"/>
          <w:lang w:val="en-US" w:eastAsia="zh-CN"/>
        </w:rPr>
        <w:t>支持查看流程当前节点情况，并提示下步流程需执行的动作。</w:t>
      </w:r>
      <w:r>
        <w:rPr>
          <w:rFonts w:hint="eastAsia" w:ascii="方正仿宋_GBK" w:hAnsi="方正仿宋_GBK"/>
          <w:snapToGrid w:val="0"/>
          <w:lang w:eastAsia="zh-CN"/>
        </w:rPr>
        <w:t>提供甘特图、饼状图等可视化项目过程监督方式。</w:t>
      </w:r>
    </w:p>
    <w:p>
      <w:pPr>
        <w:numPr>
          <w:ilvl w:val="0"/>
          <w:numId w:val="27"/>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进度填报</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提供进度填报的操作功能</w:t>
      </w:r>
      <w:r>
        <w:rPr>
          <w:rFonts w:hint="eastAsia" w:ascii="方正仿宋_GBK" w:hAnsi="方正仿宋_GBK"/>
          <w:snapToGrid w:val="0"/>
          <w:lang w:eastAsia="zh-CN"/>
        </w:rPr>
        <w:t>，其中包含进度过程中核准、审批、初步设计、施工图设计、隐蔽工程等内容项目进度填报及审批功能</w:t>
      </w:r>
      <w:r>
        <w:rPr>
          <w:rFonts w:hint="eastAsia" w:ascii="方正仿宋_GBK" w:hAnsi="方正仿宋_GBK"/>
          <w:snapToGrid w:val="0"/>
        </w:rPr>
        <w:t>。如果项目经理、项目组成员在人员定义字典中未对应系统登录用户，则使用项目进度填报。</w:t>
      </w:r>
    </w:p>
    <w:p>
      <w:pPr>
        <w:numPr>
          <w:ilvl w:val="0"/>
          <w:numId w:val="27"/>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项目经理进度填报</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提供项目经理进度填报管理。如果项目经理在人员定义字典中对应系统登录用户，则使用项目项目经理进度填报。</w:t>
      </w:r>
    </w:p>
    <w:p>
      <w:pPr>
        <w:numPr>
          <w:ilvl w:val="0"/>
          <w:numId w:val="27"/>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项目成员进度填报</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提供项目档案的批量处理功能。如果项目组成员在人员定义字典中对应系统登录用户，则使用</w:t>
      </w:r>
      <w:r>
        <w:rPr>
          <w:rFonts w:hint="eastAsia" w:ascii="方正仿宋_GBK" w:hAnsi="方正仿宋_GBK"/>
          <w:snapToGrid w:val="0"/>
          <w:lang w:eastAsia="zh-CN"/>
        </w:rPr>
        <w:t>项目</w:t>
      </w:r>
      <w:r>
        <w:rPr>
          <w:rFonts w:hint="eastAsia" w:ascii="方正仿宋_GBK" w:hAnsi="方正仿宋_GBK"/>
          <w:snapToGrid w:val="0"/>
        </w:rPr>
        <w:t>组成员进度填报。</w:t>
      </w:r>
    </w:p>
    <w:p>
      <w:pPr>
        <w:numPr>
          <w:ilvl w:val="0"/>
          <w:numId w:val="27"/>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项目费用</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维护项目档案的基本数据、项目产出、项目成员以及序列号等。</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3.变更管理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在投资项目执行过程中，会涉及到对投资项目相关信息进行变更，系统支持对项目的变更发起流程，并且记录每次变更的详细信息，支持版本对比。</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4.验收管理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项目的验收是在项目管理的过程中，依据项目的计划以及执行结果，对项目成果和全部之前的活动过程进行审验和接收的行为。项目验收时，要关注项目的起点和终点、项目的成果以及相关标志等。</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验收管理是投资项目管理的基本程序之一，项目验收管理包括对项目结果的鉴定和记录，以便由发起人、委托人或管理部门正式接受项目的产品或服务等。项目验收管理包括验收单编制及管理、验收模板编制与管理以及项目验收单的查询分析功能。</w:t>
      </w:r>
    </w:p>
    <w:p>
      <w:pPr>
        <w:numPr>
          <w:ilvl w:val="0"/>
          <w:numId w:val="28"/>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验收类型</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项目验收管理提供了对项目以及项目产出物的验收过程进行管理的功能，根据用户实际需求可灵活自定义各种验收类型，系统预置三种类型：阶段验收、交付验收、最终验收</w:t>
      </w:r>
      <w:r>
        <w:rPr>
          <w:rFonts w:hint="eastAsia" w:ascii="方正仿宋_GBK" w:hAnsi="方正仿宋_GBK"/>
          <w:snapToGrid w:val="0"/>
          <w:lang w:eastAsia="zh-CN"/>
        </w:rPr>
        <w:t>，</w:t>
      </w:r>
      <w:r>
        <w:rPr>
          <w:rFonts w:hint="eastAsia" w:ascii="方正仿宋_GBK" w:hAnsi="方正仿宋_GBK"/>
          <w:snapToGrid w:val="0"/>
          <w:lang w:val="en-US" w:eastAsia="zh-CN"/>
        </w:rPr>
        <w:t>对每个阶段项目完成情况及效果进行呈现</w:t>
      </w:r>
      <w:r>
        <w:rPr>
          <w:rFonts w:hint="eastAsia" w:ascii="方正仿宋_GBK" w:hAnsi="方正仿宋_GBK"/>
          <w:snapToGrid w:val="0"/>
        </w:rPr>
        <w:t>。</w:t>
      </w:r>
    </w:p>
    <w:p>
      <w:pPr>
        <w:numPr>
          <w:ilvl w:val="0"/>
          <w:numId w:val="28"/>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验收管理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验收单支持多种验收类型，根据每种验收类型，可显示不同验收单制单界面。</w:t>
      </w:r>
    </w:p>
    <w:p>
      <w:pPr>
        <w:numPr>
          <w:ilvl w:val="0"/>
          <w:numId w:val="28"/>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验收模板</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支持各种验收单模板的建立，通过选择验收单模板，可方便</w:t>
      </w:r>
      <w:r>
        <w:rPr>
          <w:rFonts w:hint="eastAsia" w:ascii="方正仿宋_GBK" w:hAnsi="方正仿宋_GBK"/>
          <w:snapToGrid w:val="0"/>
          <w:lang w:eastAsia="zh-CN"/>
        </w:rPr>
        <w:t>快捷地录入</w:t>
      </w:r>
      <w:r>
        <w:rPr>
          <w:rFonts w:hint="eastAsia" w:ascii="方正仿宋_GBK" w:hAnsi="方正仿宋_GBK"/>
          <w:snapToGrid w:val="0"/>
        </w:rPr>
        <w:t>验收单的内容以及相关检查项和验收资料清单。</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5.结算及决算管理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结算及决算管理模块支持项目结束时，进行对项目决算和结项处理。项目决算是指对项目</w:t>
      </w:r>
      <w:r>
        <w:rPr>
          <w:rFonts w:hint="eastAsia" w:ascii="方正仿宋_GBK" w:hAnsi="方正仿宋_GBK"/>
          <w:snapToGrid w:val="0"/>
          <w:lang w:eastAsia="zh-CN"/>
        </w:rPr>
        <w:t>在</w:t>
      </w:r>
      <w:r>
        <w:rPr>
          <w:rFonts w:hint="eastAsia" w:ascii="方正仿宋_GBK" w:hAnsi="方正仿宋_GBK"/>
          <w:snapToGrid w:val="0"/>
        </w:rPr>
        <w:t>收尾阶段的过程管理，这一过程可关闭整个项目活动。定义项目的结算类型，通过决算类型可控制相应类型下的决算单据的审批流设置。提供对项目的状态进行决算标记处理。通过系统编制项目决算单。对于决算状态的项目，可以做结项处理。</w:t>
      </w:r>
    </w:p>
    <w:p>
      <w:pPr>
        <w:pStyle w:val="8"/>
        <w:kinsoku/>
        <w:wordWrap/>
        <w:topLinePunct w:val="0"/>
        <w:autoSpaceDE/>
        <w:autoSpaceDN/>
        <w:bidi w:val="0"/>
        <w:spacing w:before="198" w:after="198" w:line="560" w:lineRule="exact"/>
      </w:pPr>
      <w:r>
        <w:rPr>
          <w:rFonts w:hint="eastAsia"/>
        </w:rPr>
        <w:t>投资计划分解</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投资计划主要是投资组织每年编制所有所属投资项目的投资情况，包括投资规模，资金来源、形象进度等内容。该系统支持按照季度、月度等维度填报投资进度，投资组织根据计划执行情况把控整体投资进度。系统支持投资计划填写及管理、提交审批等操作。支持投资进度的填写及管理、提交审批等操作。支持单个项目编写及管理投资计划，可对项目投资明细进行编写。支持项目投资计划的变更调整及提交审批等操作。支持投资计划汇总，并可查看修改汇总记录，支持投资计划版本管理。支持通过投资计划控制中心实现对下属企业投资计划填报及变更的控制和查询。此外，系统还应提供对投资计划的查询分析功能，可进行投资计划明细、进度和综合进度查询及分析。</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1.计划控制</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系统支持查询权限下所有下属公司的投资计划填报情况，支持对年度内投资计划填报及调整的时间控制；支持根据投资计划类型做统计分析；支持对下属单位提交投资计划的审核、上会等处理；支持对处于待办、已办、上会状态的投资计划进行查看。</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2.投资计划</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投资计划一般由各责任单位将本年度的计划投资的规划项目或者跨年度本年度计划投资的项目上报。该功能支持版本控制，支持投资计划的编制、查看、审批、附件、导出等基础操作。</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3.投资进度</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系统支持投资进度的编制、查看、审批、附件、导出等基础操作，支持对计划外投资进度的编制、查看、审批、附件、导出等基础操作。</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4.基础设置</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该功能支持对投资计划进行分类管理，定义投资计划类型，投资计划类型可增加指标体系字段，支持选择指标体系。</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5.查询统计</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该功能支持对投资计划的汇总管理、年度投资计划和投资进度的查询。</w:t>
      </w:r>
    </w:p>
    <w:p>
      <w:pPr>
        <w:pStyle w:val="8"/>
        <w:kinsoku/>
        <w:wordWrap/>
        <w:topLinePunct w:val="0"/>
        <w:autoSpaceDE/>
        <w:autoSpaceDN/>
        <w:bidi w:val="0"/>
        <w:spacing w:before="198" w:after="198" w:line="560" w:lineRule="exact"/>
      </w:pPr>
      <w:r>
        <w:rPr>
          <w:rFonts w:hint="eastAsia"/>
        </w:rPr>
        <w:t>年度投资分析</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汇集年度投资相关数据，分析年度投资完成情况。形成年度分析报表，年度分析报表支持层层穿透至原始单据。</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1.投资分析</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该功能应预制投资看板模型，支持查询显示投资管理的统计分析结果；应预制产权看板模型，支持查询显示产权管理的统计分析结果；支持根据项目维度进行项目全景分析；支持立项决策维护详细地址的自动定位，并在投资项目地图展示。</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2.智能报告</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该功能支持定义智能报告分类；支持智能报告模板的定义和维护；支持按照不同的维度进行模板的设置；支持按照报表组织、财务合并范围及投资组织三个维度进行模板的选用及分配，后续生成智能报告的时候的可以此为依据进行智能报告的生成执行；支持基于智能报告的模板、单位选用等设置，生成相应的智能报告；支持智能报告的查看、下载、删除及存档等管理。</w:t>
      </w:r>
    </w:p>
    <w:p>
      <w:pPr>
        <w:pStyle w:val="8"/>
        <w:kinsoku/>
        <w:wordWrap/>
        <w:topLinePunct w:val="0"/>
        <w:autoSpaceDE/>
        <w:autoSpaceDN/>
        <w:bidi w:val="0"/>
        <w:spacing w:before="198" w:after="198" w:line="560" w:lineRule="exact"/>
      </w:pPr>
      <w:r>
        <w:rPr>
          <w:rFonts w:hint="eastAsia"/>
        </w:rPr>
        <w:t>项目后评价</w:t>
      </w:r>
    </w:p>
    <w:p>
      <w:pPr>
        <w:kinsoku/>
        <w:wordWrap/>
        <w:topLinePunct w:val="0"/>
        <w:autoSpaceDE/>
        <w:autoSpaceDN/>
        <w:bidi w:val="0"/>
        <w:spacing w:line="560" w:lineRule="exact"/>
        <w:ind w:firstLine="604"/>
        <w:rPr>
          <w:rFonts w:hint="eastAsia" w:ascii="方正仿宋_GBK" w:hAnsi="方正仿宋_GBK"/>
          <w:snapToGrid w:val="0"/>
        </w:rPr>
      </w:pPr>
      <w:r>
        <w:rPr>
          <w:rFonts w:hint="eastAsia" w:ascii="方正仿宋_GBK" w:hAnsi="方正仿宋_GBK"/>
          <w:snapToGrid w:val="0"/>
        </w:rPr>
        <w:t>系统支持在一定的期限内，对照项目可行性研究报告及审批文件的主要内容，通过对项目的前期准备、实施过程、运营情况及其影响效果等方面进行对比分析，找出差距及原因，总结经验，提出切实可行的改进措施和建议，以提高投资的决策水平、管理水平，不断完善和改进投资项目决策管理，为项目规划编制、投资计划编制及项目建设管理等工作提供借鉴，达到提高投资效益的目的。</w:t>
      </w:r>
    </w:p>
    <w:p>
      <w:pPr>
        <w:kinsoku/>
        <w:wordWrap/>
        <w:topLinePunct w:val="0"/>
        <w:autoSpaceDE/>
        <w:autoSpaceDN/>
        <w:bidi w:val="0"/>
        <w:spacing w:line="560" w:lineRule="exact"/>
        <w:ind w:firstLine="604"/>
        <w:rPr>
          <w:rFonts w:hint="eastAsia" w:ascii="方正仿宋_GBK" w:hAnsi="方正仿宋_GBK"/>
          <w:snapToGrid w:val="0"/>
        </w:rPr>
      </w:pPr>
      <w:r>
        <w:rPr>
          <w:rFonts w:hint="eastAsia" w:ascii="方正仿宋_GBK" w:hAnsi="方正仿宋_GBK"/>
          <w:snapToGrid w:val="0"/>
        </w:rPr>
        <w:t>主要功能包括后评价项目库管理、</w:t>
      </w:r>
      <w:r>
        <w:rPr>
          <w:rFonts w:hint="eastAsia" w:ascii="方正仿宋_GBK" w:hAnsi="方正仿宋_GBK"/>
          <w:snapToGrid w:val="0"/>
          <w:lang w:val="en-US" w:eastAsia="zh-CN"/>
        </w:rPr>
        <w:t>年度计划及</w:t>
      </w:r>
      <w:r>
        <w:rPr>
          <w:rFonts w:hint="eastAsia" w:ascii="方正仿宋_GBK" w:hAnsi="方正仿宋_GBK"/>
          <w:snapToGrid w:val="0"/>
        </w:rPr>
        <w:t>已开展项目</w:t>
      </w:r>
      <w:r>
        <w:rPr>
          <w:rFonts w:hint="eastAsia" w:ascii="方正仿宋_GBK" w:hAnsi="方正仿宋_GBK"/>
          <w:snapToGrid w:val="0"/>
          <w:lang w:val="en-US" w:eastAsia="zh-CN"/>
        </w:rPr>
        <w:t>库</w:t>
      </w:r>
      <w:r>
        <w:rPr>
          <w:rFonts w:hint="eastAsia" w:ascii="方正仿宋_GBK" w:hAnsi="方正仿宋_GBK"/>
          <w:snapToGrid w:val="0"/>
        </w:rPr>
        <w:t>管理等。</w:t>
      </w:r>
    </w:p>
    <w:p>
      <w:pPr>
        <w:kinsoku/>
        <w:wordWrap/>
        <w:topLinePunct w:val="0"/>
        <w:autoSpaceDE/>
        <w:autoSpaceDN/>
        <w:bidi w:val="0"/>
        <w:spacing w:line="560" w:lineRule="exact"/>
        <w:ind w:firstLine="604"/>
        <w:rPr>
          <w:rFonts w:hint="eastAsia" w:ascii="方正仿宋_GBK" w:hAnsi="方正仿宋_GBK"/>
          <w:snapToGrid w:val="0"/>
        </w:rPr>
      </w:pPr>
      <w:r>
        <w:rPr>
          <w:rFonts w:hint="eastAsia" w:ascii="方正仿宋_GBK" w:hAnsi="方正仿宋_GBK"/>
          <w:snapToGrid w:val="0"/>
        </w:rPr>
        <w:t>1.后评价项目库管理</w:t>
      </w:r>
    </w:p>
    <w:p>
      <w:pPr>
        <w:kinsoku/>
        <w:wordWrap/>
        <w:topLinePunct w:val="0"/>
        <w:autoSpaceDE/>
        <w:autoSpaceDN/>
        <w:bidi w:val="0"/>
        <w:spacing w:line="560" w:lineRule="exact"/>
        <w:ind w:firstLine="604"/>
        <w:rPr>
          <w:rFonts w:hint="eastAsia" w:ascii="方正仿宋_GBK" w:hAnsi="方正仿宋_GBK"/>
          <w:snapToGrid w:val="0"/>
        </w:rPr>
      </w:pPr>
      <w:r>
        <w:rPr>
          <w:rFonts w:hint="eastAsia" w:ascii="方正仿宋_GBK" w:hAnsi="方正仿宋_GBK"/>
          <w:snapToGrid w:val="0"/>
        </w:rPr>
        <w:t>该功能支持将已完成并验收的投资项目按固定资产和股权投资分类自动流转到后评价项目库，根据设置条件提醒已完成项目的法人单位进行自我总结评价；根据设置条件，将符合条件的项目自动流转应开展项目后评价库中。项目库管理支持查询、导出等功能。</w:t>
      </w:r>
    </w:p>
    <w:p>
      <w:pPr>
        <w:kinsoku/>
        <w:wordWrap/>
        <w:topLinePunct w:val="0"/>
        <w:autoSpaceDE/>
        <w:autoSpaceDN/>
        <w:bidi w:val="0"/>
        <w:spacing w:line="560" w:lineRule="exact"/>
        <w:ind w:firstLine="604"/>
        <w:rPr>
          <w:rFonts w:hint="eastAsia" w:ascii="方正仿宋_GBK" w:hAnsi="方正仿宋_GBK"/>
          <w:snapToGrid w:val="0"/>
        </w:rPr>
      </w:pPr>
      <w:r>
        <w:rPr>
          <w:rFonts w:hint="eastAsia" w:ascii="方正仿宋_GBK" w:hAnsi="方正仿宋_GBK"/>
          <w:snapToGrid w:val="0"/>
          <w:lang w:val="en-US" w:eastAsia="zh-CN"/>
        </w:rPr>
        <w:t>2</w:t>
      </w:r>
      <w:r>
        <w:rPr>
          <w:rFonts w:hint="eastAsia" w:ascii="方正仿宋_GBK" w:hAnsi="方正仿宋_GBK"/>
          <w:snapToGrid w:val="0"/>
        </w:rPr>
        <w:t>.年度计划及已开展项目库管理</w:t>
      </w:r>
    </w:p>
    <w:p>
      <w:pPr>
        <w:kinsoku/>
        <w:wordWrap/>
        <w:topLinePunct w:val="0"/>
        <w:autoSpaceDE/>
        <w:autoSpaceDN/>
        <w:bidi w:val="0"/>
        <w:spacing w:line="560" w:lineRule="exact"/>
        <w:ind w:firstLine="604"/>
        <w:rPr>
          <w:rFonts w:hint="eastAsia" w:ascii="方正仿宋_GBK" w:hAnsi="方正仿宋_GBK"/>
          <w:snapToGrid w:val="0"/>
        </w:rPr>
      </w:pPr>
      <w:r>
        <w:rPr>
          <w:rFonts w:hint="eastAsia" w:ascii="方正仿宋_GBK" w:hAnsi="方正仿宋_GBK"/>
          <w:snapToGrid w:val="0"/>
        </w:rPr>
        <w:t>在应开展项目后评价库中根据条件筛选年度评价计划，评价完成后自动建档，档案资料包括项目基本情况、项目评价情况，后评价项目审批情况等；支持对已开展后评价项目的建议意见的落实追踪。</w:t>
      </w:r>
    </w:p>
    <w:p>
      <w:pPr>
        <w:pStyle w:val="8"/>
        <w:kinsoku/>
        <w:wordWrap/>
        <w:topLinePunct w:val="0"/>
        <w:autoSpaceDE/>
        <w:autoSpaceDN/>
        <w:bidi w:val="0"/>
        <w:spacing w:before="198" w:after="198" w:line="560" w:lineRule="exact"/>
      </w:pPr>
      <w:r>
        <w:rPr>
          <w:rFonts w:hint="eastAsia"/>
        </w:rPr>
        <w:t>投资资料管理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投资文档是指在投资项目管理过程中形成的，作为决策判断的以及作为历史记录保存起来的以备考察的文档或者其他格式资料等。投资文档是企业投资管理的</w:t>
      </w:r>
      <w:r>
        <w:rPr>
          <w:rFonts w:hint="eastAsia" w:ascii="方正仿宋_GBK" w:hAnsi="方正仿宋_GBK"/>
          <w:snapToGrid w:val="0"/>
          <w:lang w:eastAsia="zh-CN"/>
        </w:rPr>
        <w:t>一项</w:t>
      </w:r>
      <w:r>
        <w:rPr>
          <w:rFonts w:hint="eastAsia" w:ascii="方正仿宋_GBK" w:hAnsi="方正仿宋_GBK"/>
          <w:snapToGrid w:val="0"/>
        </w:rPr>
        <w:t>重要内容，可以使投资管理关键应用产品解决方案更加完整。</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1.文档管理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该功能支持投资项目在投前、投中、投后的各关键环节上传所需要都文档附件，并汇总附件文档，形成文档库。</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2.文档设置</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该功能支持记录文档管理类型。</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3.负面清单</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该功能支持对国资委下发的负面清单内容进行管理，应用至立项决策功能新增操作，支持全局参数配置是否启用。</w:t>
      </w:r>
    </w:p>
    <w:p>
      <w:pPr>
        <w:pStyle w:val="8"/>
        <w:kinsoku/>
        <w:wordWrap/>
        <w:topLinePunct w:val="0"/>
        <w:autoSpaceDE/>
        <w:autoSpaceDN/>
        <w:bidi w:val="0"/>
        <w:spacing w:before="198" w:after="198" w:line="560" w:lineRule="exact"/>
      </w:pPr>
      <w:r>
        <w:rPr>
          <w:rFonts w:hint="eastAsia"/>
        </w:rPr>
        <w:t>知识管理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集团进行投资行为时应该遵守国家的相关政策法规、企业投资管理办法，分享投资相关经验。系统应包括知识分类定义、上传投资知识、知识查阅、知识</w:t>
      </w:r>
      <w:r>
        <w:rPr>
          <w:rFonts w:hint="eastAsia" w:ascii="方正仿宋_GBK" w:hAnsi="方正仿宋_GBK"/>
          <w:snapToGrid w:val="0"/>
          <w:lang w:val="en-US" w:eastAsia="zh-CN"/>
        </w:rPr>
        <w:t>评论</w:t>
      </w:r>
      <w:r>
        <w:rPr>
          <w:rFonts w:hint="eastAsia" w:ascii="方正仿宋_GBK" w:hAnsi="方正仿宋_GBK"/>
          <w:snapToGrid w:val="0"/>
        </w:rPr>
        <w:t>功能。</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1.知识发布</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该功能支持投资知识的分类、定义投资相关政策法规、定义企业投资管理制度、分享行业动态知识、分享企业投资知识。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2.知识查阅</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知识查阅用于查阅投资知识，下载相关附件，支持知识评论及点赞。</w:t>
      </w:r>
    </w:p>
    <w:p>
      <w:pPr>
        <w:kinsoku/>
        <w:wordWrap/>
        <w:topLinePunct w:val="0"/>
        <w:autoSpaceDE/>
        <w:autoSpaceDN/>
        <w:bidi w:val="0"/>
        <w:spacing w:line="560" w:lineRule="exact"/>
        <w:ind w:firstLine="604"/>
      </w:pPr>
      <w:r>
        <w:rPr>
          <w:rFonts w:hint="eastAsia"/>
        </w:rPr>
        <w:t>3</w:t>
      </w:r>
      <w:r>
        <w:t>.</w:t>
      </w:r>
      <w:r>
        <w:rPr>
          <w:rFonts w:hint="eastAsia"/>
        </w:rPr>
        <w:t>知识分类</w:t>
      </w:r>
    </w:p>
    <w:p>
      <w:pPr>
        <w:kinsoku/>
        <w:wordWrap/>
        <w:topLinePunct w:val="0"/>
        <w:autoSpaceDE/>
        <w:autoSpaceDN/>
        <w:bidi w:val="0"/>
        <w:spacing w:line="560" w:lineRule="exact"/>
        <w:ind w:firstLine="604"/>
        <w:rPr>
          <w:rFonts w:hint="eastAsia"/>
        </w:rPr>
      </w:pPr>
      <w:r>
        <w:rPr>
          <w:rFonts w:hint="eastAsia"/>
        </w:rPr>
        <w:t>制定投资知识分类，预制政策法规类、企业制度类、行业动态类、投资知识类等。</w:t>
      </w:r>
    </w:p>
    <w:p>
      <w:pPr>
        <w:pStyle w:val="2"/>
        <w:kinsoku/>
        <w:wordWrap/>
        <w:topLinePunct w:val="0"/>
        <w:autoSpaceDE/>
        <w:autoSpaceDN/>
        <w:bidi w:val="0"/>
        <w:spacing w:line="560" w:lineRule="exact"/>
        <w:rPr>
          <w:rFonts w:hint="eastAsia"/>
          <w:lang w:val="en-US" w:eastAsia="zh-CN"/>
        </w:rPr>
      </w:pPr>
      <w:r>
        <w:rPr>
          <w:rFonts w:hint="eastAsia"/>
          <w:lang w:val="en-US" w:eastAsia="zh-CN"/>
        </w:rPr>
        <w:t>4.知识评价</w:t>
      </w:r>
    </w:p>
    <w:p>
      <w:pPr>
        <w:kinsoku/>
        <w:wordWrap/>
        <w:topLinePunct w:val="0"/>
        <w:autoSpaceDE/>
        <w:autoSpaceDN/>
        <w:bidi w:val="0"/>
        <w:spacing w:line="560" w:lineRule="exact"/>
        <w:rPr>
          <w:rFonts w:hint="default"/>
          <w:lang w:val="en-US" w:eastAsia="zh-CN"/>
        </w:rPr>
      </w:pPr>
      <w:r>
        <w:rPr>
          <w:rFonts w:hint="eastAsia"/>
          <w:lang w:val="en-US" w:eastAsia="zh-CN"/>
        </w:rPr>
        <w:t>支持对上传的知识进行评论。</w:t>
      </w:r>
    </w:p>
    <w:p>
      <w:pPr>
        <w:pStyle w:val="7"/>
        <w:kinsoku/>
        <w:wordWrap/>
        <w:topLinePunct w:val="0"/>
        <w:autoSpaceDE/>
        <w:autoSpaceDN/>
        <w:bidi w:val="0"/>
        <w:spacing w:before="198" w:after="198" w:line="560" w:lineRule="exact"/>
        <w:rPr>
          <w:rFonts w:hint="default"/>
        </w:rPr>
      </w:pPr>
      <w:r>
        <w:t>领导驾驶舱</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整合农投集团内部各系统，形成农投集团企业数据仓库，并建立财务、业务多维度的分析主题，以各种图表（如柱状图、饼状图、预警雷达、雷达球速度表、音量柱等）形象展示企业运行的关键指标</w:t>
      </w:r>
      <w:r>
        <w:rPr>
          <w:rFonts w:hint="eastAsia" w:ascii="方正仿宋_GBK" w:hAnsi="方正仿宋_GBK"/>
          <w:snapToGrid w:val="0"/>
          <w:lang w:eastAsia="zh-CN"/>
        </w:rPr>
        <w:t>，</w:t>
      </w:r>
      <w:r>
        <w:rPr>
          <w:rFonts w:hint="eastAsia" w:ascii="方正仿宋_GBK" w:hAnsi="方正仿宋_GBK"/>
          <w:snapToGrid w:val="0"/>
        </w:rPr>
        <w:t>包括财务分析、行业对标、风险预警、趋势预判、绩效评价等。配置领导办公室中屏6套，建立可视化的领导驾驶舱为企业高层管理者提供的“一站式”决策支持系统。同时各套数据中屏的数据可以根据集团的数据要求随时进行调整，以适应集团的业务变化需求。</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主要包括</w:t>
      </w:r>
      <w:r>
        <w:rPr>
          <w:rFonts w:hint="eastAsia" w:ascii="方正仿宋_GBK" w:hAnsi="方正仿宋_GBK"/>
          <w:snapToGrid w:val="0"/>
          <w:lang w:eastAsia="zh-CN"/>
        </w:rPr>
        <w:t>集团</w:t>
      </w:r>
      <w:r>
        <w:rPr>
          <w:rFonts w:hint="eastAsia" w:ascii="方正仿宋_GBK" w:hAnsi="方正仿宋_GBK"/>
          <w:snapToGrid w:val="0"/>
        </w:rPr>
        <w:t>领导</w:t>
      </w:r>
      <w:r>
        <w:rPr>
          <w:rFonts w:hint="eastAsia" w:ascii="方正仿宋_GBK" w:hAnsi="方正仿宋_GBK"/>
          <w:snapToGrid w:val="0"/>
          <w:lang w:eastAsia="zh-CN"/>
        </w:rPr>
        <w:t>在内的</w:t>
      </w:r>
      <w:r>
        <w:rPr>
          <w:rFonts w:hint="eastAsia" w:ascii="方正仿宋_GBK" w:hAnsi="方正仿宋_GBK"/>
          <w:snapToGrid w:val="0"/>
        </w:rPr>
        <w:t>驾驶舱等</w:t>
      </w:r>
      <w:r>
        <w:rPr>
          <w:rFonts w:hint="eastAsia" w:ascii="方正仿宋_GBK" w:hAnsi="方正仿宋_GBK"/>
          <w:snapToGrid w:val="0"/>
          <w:lang w:eastAsia="zh-CN"/>
        </w:rPr>
        <w:t>相关</w:t>
      </w:r>
      <w:r>
        <w:rPr>
          <w:rFonts w:hint="eastAsia" w:ascii="方正仿宋_GBK" w:hAnsi="方正仿宋_GBK"/>
          <w:snapToGrid w:val="0"/>
        </w:rPr>
        <w:t>功能。根据不同的角色展示相应的管理驾驶舱，实现对企业运营状况的实时监控分析，对企业运行异常情况进行主动预警，提供穿透钻取分析、多维度分析问题产生原因，直击问题根源</w:t>
      </w:r>
      <w:r>
        <w:rPr>
          <w:rFonts w:hint="eastAsia" w:ascii="方正仿宋_GBK" w:hAnsi="方正仿宋_GBK"/>
          <w:snapToGrid w:val="0"/>
          <w:lang w:eastAsia="zh-CN"/>
        </w:rPr>
        <w:t>。举例如下：</w:t>
      </w:r>
    </w:p>
    <w:p>
      <w:pPr>
        <w:pStyle w:val="8"/>
        <w:kinsoku/>
        <w:wordWrap/>
        <w:topLinePunct w:val="0"/>
        <w:autoSpaceDE/>
        <w:autoSpaceDN/>
        <w:bidi w:val="0"/>
        <w:spacing w:before="198" w:after="198" w:line="560" w:lineRule="exact"/>
      </w:pPr>
      <w:bookmarkStart w:id="177" w:name="_Toc18265"/>
      <w:r>
        <w:rPr>
          <w:rFonts w:hint="eastAsia"/>
        </w:rPr>
        <w:t>董事长驾驶舱</w:t>
      </w:r>
    </w:p>
    <w:p>
      <w:pPr>
        <w:keepNext/>
        <w:widowControl w:val="0"/>
        <w:numPr>
          <w:ilvl w:val="0"/>
          <w:numId w:val="18"/>
        </w:numPr>
        <w:kinsoku/>
        <w:wordWrap/>
        <w:topLinePunct w:val="0"/>
        <w:autoSpaceDE/>
        <w:autoSpaceDN/>
        <w:bidi w:val="0"/>
        <w:spacing w:before="397" w:beforeLines="100" w:line="560" w:lineRule="exact"/>
        <w:ind w:firstLineChars="0"/>
        <w:jc w:val="center"/>
        <w:textAlignment w:val="center"/>
        <w:rPr>
          <w:rFonts w:ascii="方正仿宋_GBK" w:hAnsi="方正仿宋_GBK"/>
          <w:snapToGrid w:val="0"/>
        </w:rPr>
      </w:pPr>
      <w:r>
        <w:rPr>
          <w:rFonts w:hint="eastAsia" w:ascii="方正仿宋_GBK" w:hAnsi="方正仿宋_GBK"/>
          <w:snapToGrid w:val="0"/>
        </w:rPr>
        <w:t>董事长驾驶舱</w:t>
      </w:r>
    </w:p>
    <w:tbl>
      <w:tblPr>
        <w:tblStyle w:val="11"/>
        <w:tblW w:w="4998" w:type="pct"/>
        <w:tblInd w:w="0" w:type="dxa"/>
        <w:tblLayout w:type="autofit"/>
        <w:tblCellMar>
          <w:top w:w="0" w:type="dxa"/>
          <w:left w:w="108" w:type="dxa"/>
          <w:bottom w:w="0" w:type="dxa"/>
          <w:right w:w="108" w:type="dxa"/>
        </w:tblCellMar>
      </w:tblPr>
      <w:tblGrid>
        <w:gridCol w:w="2362"/>
        <w:gridCol w:w="2699"/>
        <w:gridCol w:w="3458"/>
      </w:tblGrid>
      <w:tr>
        <w:tblPrEx>
          <w:tblCellMar>
            <w:top w:w="0" w:type="dxa"/>
            <w:left w:w="108" w:type="dxa"/>
            <w:bottom w:w="0" w:type="dxa"/>
            <w:right w:w="108" w:type="dxa"/>
          </w:tblCellMar>
        </w:tblPrEx>
        <w:trPr>
          <w:trHeight w:val="624" w:hRule="atLeast"/>
          <w:tblHeader/>
        </w:trPr>
        <w:tc>
          <w:tcPr>
            <w:tcW w:w="138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b/>
              </w:rPr>
            </w:pPr>
            <w:r>
              <w:rPr>
                <w:rFonts w:hint="eastAsia" w:ascii="方正仿宋_GBK" w:hAnsi="方正仿宋_GBK"/>
                <w:b/>
              </w:rPr>
              <w:t>一级分析主题</w:t>
            </w:r>
          </w:p>
        </w:tc>
        <w:tc>
          <w:tcPr>
            <w:tcW w:w="1584" w:type="pct"/>
            <w:tcBorders>
              <w:top w:val="single" w:color="auto" w:sz="4" w:space="0"/>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b/>
              </w:rPr>
            </w:pPr>
            <w:r>
              <w:rPr>
                <w:rFonts w:hint="eastAsia" w:ascii="方正仿宋_GBK" w:hAnsi="方正仿宋_GBK"/>
                <w:b/>
              </w:rPr>
              <w:t>二级分析主题</w:t>
            </w:r>
          </w:p>
        </w:tc>
        <w:tc>
          <w:tcPr>
            <w:tcW w:w="2029" w:type="pct"/>
            <w:tcBorders>
              <w:top w:val="single" w:color="auto" w:sz="4" w:space="0"/>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b/>
              </w:rPr>
            </w:pPr>
            <w:r>
              <w:rPr>
                <w:rFonts w:hint="eastAsia" w:ascii="方正仿宋_GBK" w:hAnsi="方正仿宋_GBK"/>
                <w:b/>
              </w:rPr>
              <w:t>详细分析内容</w:t>
            </w:r>
          </w:p>
        </w:tc>
      </w:tr>
      <w:tr>
        <w:tblPrEx>
          <w:tblCellMar>
            <w:top w:w="0" w:type="dxa"/>
            <w:left w:w="108" w:type="dxa"/>
            <w:bottom w:w="0" w:type="dxa"/>
            <w:right w:w="108" w:type="dxa"/>
          </w:tblCellMar>
        </w:tblPrEx>
        <w:trPr>
          <w:trHeight w:val="454" w:hRule="atLeast"/>
        </w:trPr>
        <w:tc>
          <w:tcPr>
            <w:tcW w:w="1386" w:type="pct"/>
            <w:vMerge w:val="restart"/>
            <w:tcBorders>
              <w:top w:val="nil"/>
              <w:left w:val="single" w:color="auto" w:sz="4" w:space="0"/>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运营管理</w:t>
            </w: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经营考核</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各子公司考核指标的构成分析，并罗列每一项指标得分；根据考核指标，得出分值；大于季度时间所得分的为绿灯、10%以内偏差的黄灯、大于10%偏差的红灯</w:t>
            </w:r>
          </w:p>
        </w:tc>
      </w:tr>
      <w:tr>
        <w:tblPrEx>
          <w:tblCellMar>
            <w:top w:w="0" w:type="dxa"/>
            <w:left w:w="108" w:type="dxa"/>
            <w:bottom w:w="0" w:type="dxa"/>
            <w:right w:w="108" w:type="dxa"/>
          </w:tblCellMar>
        </w:tblPrEx>
        <w:trPr>
          <w:trHeight w:val="454" w:hRule="atLeast"/>
        </w:trPr>
        <w:tc>
          <w:tcPr>
            <w:tcW w:w="1386"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营业收入</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公司营业收入</w:t>
            </w:r>
          </w:p>
        </w:tc>
      </w:tr>
      <w:tr>
        <w:tblPrEx>
          <w:tblCellMar>
            <w:top w:w="0" w:type="dxa"/>
            <w:left w:w="108" w:type="dxa"/>
            <w:bottom w:w="0" w:type="dxa"/>
            <w:right w:w="108" w:type="dxa"/>
          </w:tblCellMar>
        </w:tblPrEx>
        <w:trPr>
          <w:trHeight w:val="454" w:hRule="atLeast"/>
        </w:trPr>
        <w:tc>
          <w:tcPr>
            <w:tcW w:w="1386"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利润</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公司利润</w:t>
            </w:r>
          </w:p>
        </w:tc>
      </w:tr>
      <w:tr>
        <w:tblPrEx>
          <w:tblCellMar>
            <w:top w:w="0" w:type="dxa"/>
            <w:left w:w="108" w:type="dxa"/>
            <w:bottom w:w="0" w:type="dxa"/>
            <w:right w:w="108" w:type="dxa"/>
          </w:tblCellMar>
        </w:tblPrEx>
        <w:trPr>
          <w:trHeight w:val="454" w:hRule="atLeast"/>
        </w:trPr>
        <w:tc>
          <w:tcPr>
            <w:tcW w:w="1386"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净资产</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公司净资产</w:t>
            </w:r>
          </w:p>
        </w:tc>
      </w:tr>
      <w:tr>
        <w:tblPrEx>
          <w:tblCellMar>
            <w:top w:w="0" w:type="dxa"/>
            <w:left w:w="108" w:type="dxa"/>
            <w:bottom w:w="0" w:type="dxa"/>
            <w:right w:w="108" w:type="dxa"/>
          </w:tblCellMar>
        </w:tblPrEx>
        <w:trPr>
          <w:trHeight w:val="454" w:hRule="atLeast"/>
        </w:trPr>
        <w:tc>
          <w:tcPr>
            <w:tcW w:w="1386"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人员分布</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按照职务类别统计集团人员分布占比；联查每一类别中人员的明细信息</w:t>
            </w:r>
          </w:p>
        </w:tc>
      </w:tr>
      <w:tr>
        <w:tblPrEx>
          <w:tblCellMar>
            <w:top w:w="0" w:type="dxa"/>
            <w:left w:w="108" w:type="dxa"/>
            <w:bottom w:w="0" w:type="dxa"/>
            <w:right w:w="108" w:type="dxa"/>
          </w:tblCellMar>
        </w:tblPrEx>
        <w:trPr>
          <w:trHeight w:val="454" w:hRule="atLeast"/>
        </w:trPr>
        <w:tc>
          <w:tcPr>
            <w:tcW w:w="1386"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职级构成</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联查每一类别中人员职级构成情况</w:t>
            </w:r>
          </w:p>
        </w:tc>
      </w:tr>
      <w:tr>
        <w:tblPrEx>
          <w:tblCellMar>
            <w:top w:w="0" w:type="dxa"/>
            <w:left w:w="108" w:type="dxa"/>
            <w:bottom w:w="0" w:type="dxa"/>
            <w:right w:w="108" w:type="dxa"/>
          </w:tblCellMar>
        </w:tblPrEx>
        <w:trPr>
          <w:trHeight w:val="454" w:hRule="atLeast"/>
        </w:trPr>
        <w:tc>
          <w:tcPr>
            <w:tcW w:w="1386"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投资项目</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按照不同维度形成项目构成图</w:t>
            </w:r>
          </w:p>
        </w:tc>
      </w:tr>
      <w:tr>
        <w:tblPrEx>
          <w:tblCellMar>
            <w:top w:w="0" w:type="dxa"/>
            <w:left w:w="108" w:type="dxa"/>
            <w:bottom w:w="0" w:type="dxa"/>
            <w:right w:w="108" w:type="dxa"/>
          </w:tblCellMar>
        </w:tblPrEx>
        <w:trPr>
          <w:trHeight w:val="454" w:hRule="atLeast"/>
        </w:trPr>
        <w:tc>
          <w:tcPr>
            <w:tcW w:w="1386"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投资企业</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公司投资企业明细情况</w:t>
            </w:r>
          </w:p>
        </w:tc>
      </w:tr>
      <w:tr>
        <w:tblPrEx>
          <w:tblCellMar>
            <w:top w:w="0" w:type="dxa"/>
            <w:left w:w="108" w:type="dxa"/>
            <w:bottom w:w="0" w:type="dxa"/>
            <w:right w:w="108" w:type="dxa"/>
          </w:tblCellMar>
        </w:tblPrEx>
        <w:trPr>
          <w:trHeight w:val="454" w:hRule="atLeast"/>
        </w:trPr>
        <w:tc>
          <w:tcPr>
            <w:tcW w:w="1386"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拟投项目</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公司投资项目明细情况</w:t>
            </w:r>
          </w:p>
        </w:tc>
      </w:tr>
      <w:tr>
        <w:tblPrEx>
          <w:tblCellMar>
            <w:top w:w="0" w:type="dxa"/>
            <w:left w:w="108" w:type="dxa"/>
            <w:bottom w:w="0" w:type="dxa"/>
            <w:right w:w="108" w:type="dxa"/>
          </w:tblCellMar>
        </w:tblPrEx>
        <w:trPr>
          <w:trHeight w:val="454" w:hRule="atLeast"/>
        </w:trPr>
        <w:tc>
          <w:tcPr>
            <w:tcW w:w="1386" w:type="pct"/>
            <w:vMerge w:val="restart"/>
            <w:tcBorders>
              <w:top w:val="nil"/>
              <w:left w:val="single" w:color="auto" w:sz="4" w:space="0"/>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监事管理</w:t>
            </w: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利润</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公司去年利润明细表格</w:t>
            </w:r>
          </w:p>
        </w:tc>
      </w:tr>
      <w:tr>
        <w:tblPrEx>
          <w:tblCellMar>
            <w:top w:w="0" w:type="dxa"/>
            <w:left w:w="108" w:type="dxa"/>
            <w:bottom w:w="0" w:type="dxa"/>
            <w:right w:w="108" w:type="dxa"/>
          </w:tblCellMar>
        </w:tblPrEx>
        <w:trPr>
          <w:trHeight w:val="454" w:hRule="atLeast"/>
        </w:trPr>
        <w:tc>
          <w:tcPr>
            <w:tcW w:w="1386"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净资产</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公司去年净资产明细表格</w:t>
            </w:r>
          </w:p>
        </w:tc>
      </w:tr>
      <w:tr>
        <w:tblPrEx>
          <w:tblCellMar>
            <w:top w:w="0" w:type="dxa"/>
            <w:left w:w="108" w:type="dxa"/>
            <w:bottom w:w="0" w:type="dxa"/>
            <w:right w:w="108" w:type="dxa"/>
          </w:tblCellMar>
        </w:tblPrEx>
        <w:trPr>
          <w:trHeight w:val="454" w:hRule="atLeast"/>
        </w:trPr>
        <w:tc>
          <w:tcPr>
            <w:tcW w:w="1386"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总负债&amp;负债率</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公司去年总负债和负债率明细表格</w:t>
            </w:r>
          </w:p>
        </w:tc>
      </w:tr>
      <w:tr>
        <w:tblPrEx>
          <w:tblCellMar>
            <w:top w:w="0" w:type="dxa"/>
            <w:left w:w="108" w:type="dxa"/>
            <w:bottom w:w="0" w:type="dxa"/>
            <w:right w:w="108" w:type="dxa"/>
          </w:tblCellMar>
        </w:tblPrEx>
        <w:trPr>
          <w:trHeight w:val="454" w:hRule="atLeast"/>
        </w:trPr>
        <w:tc>
          <w:tcPr>
            <w:tcW w:w="1386"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风险类别构成</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风险类别为财务风险、战略风险、市场风险、运营风险、法律法规风险，可查看公司风险类别构成明细</w:t>
            </w:r>
          </w:p>
        </w:tc>
      </w:tr>
      <w:tr>
        <w:tblPrEx>
          <w:tblCellMar>
            <w:top w:w="0" w:type="dxa"/>
            <w:left w:w="108" w:type="dxa"/>
            <w:bottom w:w="0" w:type="dxa"/>
            <w:right w:w="108" w:type="dxa"/>
          </w:tblCellMar>
        </w:tblPrEx>
        <w:trPr>
          <w:trHeight w:val="454" w:hRule="atLeast"/>
        </w:trPr>
        <w:tc>
          <w:tcPr>
            <w:tcW w:w="1386"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风险分布图</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公司风险分布明细情况</w:t>
            </w:r>
          </w:p>
        </w:tc>
      </w:tr>
      <w:tr>
        <w:tblPrEx>
          <w:tblCellMar>
            <w:top w:w="0" w:type="dxa"/>
            <w:left w:w="108" w:type="dxa"/>
            <w:bottom w:w="0" w:type="dxa"/>
            <w:right w:w="108" w:type="dxa"/>
          </w:tblCellMar>
        </w:tblPrEx>
        <w:trPr>
          <w:trHeight w:val="454" w:hRule="atLeast"/>
        </w:trPr>
        <w:tc>
          <w:tcPr>
            <w:tcW w:w="1386"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项目风险预警</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公司项目风险预警情况</w:t>
            </w:r>
          </w:p>
        </w:tc>
      </w:tr>
      <w:tr>
        <w:tblPrEx>
          <w:tblCellMar>
            <w:top w:w="0" w:type="dxa"/>
            <w:left w:w="108" w:type="dxa"/>
            <w:bottom w:w="0" w:type="dxa"/>
            <w:right w:w="108" w:type="dxa"/>
          </w:tblCellMar>
        </w:tblPrEx>
        <w:trPr>
          <w:trHeight w:val="454" w:hRule="atLeast"/>
        </w:trPr>
        <w:tc>
          <w:tcPr>
            <w:tcW w:w="1386"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投资项目</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公司投资项目明细情况</w:t>
            </w:r>
          </w:p>
        </w:tc>
      </w:tr>
      <w:tr>
        <w:tblPrEx>
          <w:tblCellMar>
            <w:top w:w="0" w:type="dxa"/>
            <w:left w:w="108" w:type="dxa"/>
            <w:bottom w:w="0" w:type="dxa"/>
            <w:right w:w="108" w:type="dxa"/>
          </w:tblCellMar>
        </w:tblPrEx>
        <w:trPr>
          <w:trHeight w:val="454" w:hRule="atLeast"/>
        </w:trPr>
        <w:tc>
          <w:tcPr>
            <w:tcW w:w="1386"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投资企业</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公司投资企业明细情况</w:t>
            </w:r>
          </w:p>
        </w:tc>
      </w:tr>
      <w:tr>
        <w:tblPrEx>
          <w:tblCellMar>
            <w:top w:w="0" w:type="dxa"/>
            <w:left w:w="108" w:type="dxa"/>
            <w:bottom w:w="0" w:type="dxa"/>
            <w:right w:w="108" w:type="dxa"/>
          </w:tblCellMar>
        </w:tblPrEx>
        <w:trPr>
          <w:trHeight w:val="454" w:hRule="atLeast"/>
        </w:trPr>
        <w:tc>
          <w:tcPr>
            <w:tcW w:w="1386"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问题整改</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提示问题数量及完成整改数</w:t>
            </w:r>
          </w:p>
        </w:tc>
      </w:tr>
      <w:tr>
        <w:tblPrEx>
          <w:tblCellMar>
            <w:top w:w="0" w:type="dxa"/>
            <w:left w:w="108" w:type="dxa"/>
            <w:bottom w:w="0" w:type="dxa"/>
            <w:right w:w="108" w:type="dxa"/>
          </w:tblCellMar>
        </w:tblPrEx>
        <w:trPr>
          <w:trHeight w:val="454" w:hRule="atLeast"/>
        </w:trPr>
        <w:tc>
          <w:tcPr>
            <w:tcW w:w="1386"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工作任务</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工作任务查看</w:t>
            </w:r>
          </w:p>
        </w:tc>
      </w:tr>
      <w:tr>
        <w:tblPrEx>
          <w:tblCellMar>
            <w:top w:w="0" w:type="dxa"/>
            <w:left w:w="108" w:type="dxa"/>
            <w:bottom w:w="0" w:type="dxa"/>
            <w:right w:w="108" w:type="dxa"/>
          </w:tblCellMar>
        </w:tblPrEx>
        <w:trPr>
          <w:trHeight w:val="454" w:hRule="atLeast"/>
        </w:trPr>
        <w:tc>
          <w:tcPr>
            <w:tcW w:w="1386"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任务达成情况</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任务完成情况查看</w:t>
            </w:r>
          </w:p>
        </w:tc>
      </w:tr>
      <w:tr>
        <w:tblPrEx>
          <w:tblCellMar>
            <w:top w:w="0" w:type="dxa"/>
            <w:left w:w="108" w:type="dxa"/>
            <w:bottom w:w="0" w:type="dxa"/>
            <w:right w:w="108" w:type="dxa"/>
          </w:tblCellMar>
        </w:tblPrEx>
        <w:trPr>
          <w:trHeight w:val="454" w:hRule="atLeast"/>
        </w:trPr>
        <w:tc>
          <w:tcPr>
            <w:tcW w:w="1386"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重要干部任务</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按届次会议查询干部名称、任免类型、现任职务、拟任职务</w:t>
            </w:r>
          </w:p>
        </w:tc>
      </w:tr>
      <w:tr>
        <w:tblPrEx>
          <w:tblCellMar>
            <w:top w:w="0" w:type="dxa"/>
            <w:left w:w="108" w:type="dxa"/>
            <w:bottom w:w="0" w:type="dxa"/>
            <w:right w:w="108" w:type="dxa"/>
          </w:tblCellMar>
        </w:tblPrEx>
        <w:trPr>
          <w:trHeight w:val="454" w:hRule="atLeast"/>
        </w:trPr>
        <w:tc>
          <w:tcPr>
            <w:tcW w:w="1386" w:type="pct"/>
            <w:vMerge w:val="restart"/>
            <w:tcBorders>
              <w:top w:val="nil"/>
              <w:left w:val="single" w:color="auto" w:sz="4" w:space="0"/>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纪检监察</w:t>
            </w: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管理费用</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展示公司名称、期间、费用金额、费用累计</w:t>
            </w:r>
          </w:p>
        </w:tc>
      </w:tr>
      <w:tr>
        <w:tblPrEx>
          <w:tblCellMar>
            <w:top w:w="0" w:type="dxa"/>
            <w:left w:w="108" w:type="dxa"/>
            <w:bottom w:w="0" w:type="dxa"/>
            <w:right w:w="108" w:type="dxa"/>
          </w:tblCellMar>
        </w:tblPrEx>
        <w:trPr>
          <w:trHeight w:val="454" w:hRule="atLeast"/>
        </w:trPr>
        <w:tc>
          <w:tcPr>
            <w:tcW w:w="1386"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银行账户</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银行新开户数量及注销户数显示</w:t>
            </w:r>
          </w:p>
        </w:tc>
      </w:tr>
      <w:tr>
        <w:tblPrEx>
          <w:tblCellMar>
            <w:top w:w="0" w:type="dxa"/>
            <w:left w:w="108" w:type="dxa"/>
            <w:bottom w:w="0" w:type="dxa"/>
            <w:right w:w="108" w:type="dxa"/>
          </w:tblCellMar>
        </w:tblPrEx>
        <w:trPr>
          <w:trHeight w:val="454" w:hRule="atLeast"/>
        </w:trPr>
        <w:tc>
          <w:tcPr>
            <w:tcW w:w="1386"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工程招投标</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分析三类工程招投标的不同金额范围的项目数量，展示工程项目列表，对招投标不合规的项目进行预警</w:t>
            </w:r>
          </w:p>
        </w:tc>
      </w:tr>
      <w:tr>
        <w:tblPrEx>
          <w:tblCellMar>
            <w:top w:w="0" w:type="dxa"/>
            <w:left w:w="108" w:type="dxa"/>
            <w:bottom w:w="0" w:type="dxa"/>
            <w:right w:w="108" w:type="dxa"/>
          </w:tblCellMar>
        </w:tblPrEx>
        <w:trPr>
          <w:trHeight w:val="454" w:hRule="atLeast"/>
        </w:trPr>
        <w:tc>
          <w:tcPr>
            <w:tcW w:w="1386"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重点投资项目</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联查项目详细信息</w:t>
            </w:r>
          </w:p>
        </w:tc>
      </w:tr>
      <w:tr>
        <w:tblPrEx>
          <w:tblCellMar>
            <w:top w:w="0" w:type="dxa"/>
            <w:left w:w="108" w:type="dxa"/>
            <w:bottom w:w="0" w:type="dxa"/>
            <w:right w:w="108" w:type="dxa"/>
          </w:tblCellMar>
        </w:tblPrEx>
        <w:trPr>
          <w:trHeight w:val="454" w:hRule="atLeast"/>
        </w:trPr>
        <w:tc>
          <w:tcPr>
            <w:tcW w:w="1386"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重要干部任免</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按照届次会议进行查询干部名称、任免类型、现任职务、拟任职务，也可联查人员详细信息</w:t>
            </w:r>
          </w:p>
        </w:tc>
      </w:tr>
      <w:tr>
        <w:tblPrEx>
          <w:tblCellMar>
            <w:top w:w="0" w:type="dxa"/>
            <w:left w:w="108" w:type="dxa"/>
            <w:bottom w:w="0" w:type="dxa"/>
            <w:right w:w="108" w:type="dxa"/>
          </w:tblCellMar>
        </w:tblPrEx>
        <w:trPr>
          <w:trHeight w:val="454" w:hRule="atLeast"/>
        </w:trPr>
        <w:tc>
          <w:tcPr>
            <w:tcW w:w="1386"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薪酬分析</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公司薪酬分析</w:t>
            </w:r>
          </w:p>
        </w:tc>
      </w:tr>
      <w:tr>
        <w:tblPrEx>
          <w:tblCellMar>
            <w:top w:w="0" w:type="dxa"/>
            <w:left w:w="108" w:type="dxa"/>
            <w:bottom w:w="0" w:type="dxa"/>
            <w:right w:w="108" w:type="dxa"/>
          </w:tblCellMar>
        </w:tblPrEx>
        <w:trPr>
          <w:trHeight w:val="454" w:hRule="atLeast"/>
        </w:trPr>
        <w:tc>
          <w:tcPr>
            <w:tcW w:w="1386" w:type="pct"/>
            <w:vMerge w:val="restart"/>
            <w:tcBorders>
              <w:top w:val="nil"/>
              <w:left w:val="single" w:color="auto" w:sz="4" w:space="0"/>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财务管理</w:t>
            </w: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管理费用</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汇总</w:t>
            </w:r>
            <w:r>
              <w:rPr>
                <w:rFonts w:hint="eastAsia" w:ascii="方正仿宋_GBK" w:hAnsi="方正仿宋_GBK"/>
                <w:lang w:eastAsia="zh-CN"/>
              </w:rPr>
              <w:t>截至</w:t>
            </w:r>
            <w:r>
              <w:rPr>
                <w:rFonts w:hint="eastAsia" w:ascii="方正仿宋_GBK" w:hAnsi="方正仿宋_GBK"/>
              </w:rPr>
              <w:t>当前月份管理费用的年度累计值，并和去年同比；当前月份前一个月的管理费用，并和去年同比；联查子公司管理费用排名</w:t>
            </w:r>
          </w:p>
        </w:tc>
      </w:tr>
      <w:tr>
        <w:tblPrEx>
          <w:tblCellMar>
            <w:top w:w="0" w:type="dxa"/>
            <w:left w:w="108" w:type="dxa"/>
            <w:bottom w:w="0" w:type="dxa"/>
            <w:right w:w="108" w:type="dxa"/>
          </w:tblCellMar>
        </w:tblPrEx>
        <w:trPr>
          <w:trHeight w:val="454" w:hRule="atLeast"/>
        </w:trPr>
        <w:tc>
          <w:tcPr>
            <w:tcW w:w="1386"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工资</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汇总</w:t>
            </w:r>
            <w:r>
              <w:rPr>
                <w:rFonts w:hint="eastAsia" w:ascii="方正仿宋_GBK" w:hAnsi="方正仿宋_GBK"/>
                <w:lang w:eastAsia="zh-CN"/>
              </w:rPr>
              <w:t>截至</w:t>
            </w:r>
            <w:r>
              <w:rPr>
                <w:rFonts w:hint="eastAsia" w:ascii="方正仿宋_GBK" w:hAnsi="方正仿宋_GBK"/>
              </w:rPr>
              <w:t>当前月份工资的年度累计值，并和去年同比；当前月份前一个月的工资，并和去年同比；联查子公司工资排名</w:t>
            </w:r>
          </w:p>
        </w:tc>
      </w:tr>
      <w:tr>
        <w:tblPrEx>
          <w:tblCellMar>
            <w:top w:w="0" w:type="dxa"/>
            <w:left w:w="108" w:type="dxa"/>
            <w:bottom w:w="0" w:type="dxa"/>
            <w:right w:w="108" w:type="dxa"/>
          </w:tblCellMar>
        </w:tblPrEx>
        <w:trPr>
          <w:trHeight w:val="454" w:hRule="atLeast"/>
        </w:trPr>
        <w:tc>
          <w:tcPr>
            <w:tcW w:w="1386"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投资构成收益</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按照投资类别汇总当年的收益累计总和；联查到子公司的明细收益构成排名</w:t>
            </w:r>
          </w:p>
        </w:tc>
      </w:tr>
      <w:tr>
        <w:tblPrEx>
          <w:tblCellMar>
            <w:top w:w="0" w:type="dxa"/>
            <w:left w:w="108" w:type="dxa"/>
            <w:bottom w:w="0" w:type="dxa"/>
            <w:right w:w="108" w:type="dxa"/>
          </w:tblCellMar>
        </w:tblPrEx>
        <w:trPr>
          <w:trHeight w:val="454" w:hRule="atLeast"/>
        </w:trPr>
        <w:tc>
          <w:tcPr>
            <w:tcW w:w="1386"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投资金额分布情况</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按照投资类别汇总当年的投资金额总和；联查到子公司的明细收益构成排名</w:t>
            </w:r>
          </w:p>
        </w:tc>
      </w:tr>
      <w:tr>
        <w:tblPrEx>
          <w:tblCellMar>
            <w:top w:w="0" w:type="dxa"/>
            <w:left w:w="108" w:type="dxa"/>
            <w:bottom w:w="0" w:type="dxa"/>
            <w:right w:w="108" w:type="dxa"/>
          </w:tblCellMar>
        </w:tblPrEx>
        <w:trPr>
          <w:trHeight w:val="454" w:hRule="atLeast"/>
        </w:trPr>
        <w:tc>
          <w:tcPr>
            <w:tcW w:w="1386"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现金流分析</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按照三大类别（筹资、经营、投资）汇总当月现金流的流入和流出金额</w:t>
            </w:r>
          </w:p>
        </w:tc>
      </w:tr>
      <w:tr>
        <w:tblPrEx>
          <w:tblCellMar>
            <w:top w:w="0" w:type="dxa"/>
            <w:left w:w="108" w:type="dxa"/>
            <w:bottom w:w="0" w:type="dxa"/>
            <w:right w:w="108" w:type="dxa"/>
          </w:tblCellMar>
        </w:tblPrEx>
        <w:trPr>
          <w:trHeight w:val="454" w:hRule="atLeast"/>
        </w:trPr>
        <w:tc>
          <w:tcPr>
            <w:tcW w:w="1386"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现金流流入分析</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按照三大类别（筹资、经营、投资）汇总当月现金流的流入金额</w:t>
            </w:r>
          </w:p>
        </w:tc>
      </w:tr>
      <w:tr>
        <w:tblPrEx>
          <w:tblCellMar>
            <w:top w:w="0" w:type="dxa"/>
            <w:left w:w="108" w:type="dxa"/>
            <w:bottom w:w="0" w:type="dxa"/>
            <w:right w:w="108" w:type="dxa"/>
          </w:tblCellMar>
        </w:tblPrEx>
        <w:trPr>
          <w:trHeight w:val="454" w:hRule="atLeast"/>
        </w:trPr>
        <w:tc>
          <w:tcPr>
            <w:tcW w:w="1386"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现金流流出分析</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按照三大类别（筹资、经营、投资）汇总当月现金流的流出金额</w:t>
            </w:r>
          </w:p>
        </w:tc>
      </w:tr>
      <w:tr>
        <w:tblPrEx>
          <w:tblCellMar>
            <w:top w:w="0" w:type="dxa"/>
            <w:left w:w="108" w:type="dxa"/>
            <w:bottom w:w="0" w:type="dxa"/>
            <w:right w:w="108" w:type="dxa"/>
          </w:tblCellMar>
        </w:tblPrEx>
        <w:trPr>
          <w:trHeight w:val="454" w:hRule="atLeast"/>
        </w:trPr>
        <w:tc>
          <w:tcPr>
            <w:tcW w:w="1386"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净资产</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公司净资产</w:t>
            </w:r>
          </w:p>
        </w:tc>
      </w:tr>
      <w:tr>
        <w:tblPrEx>
          <w:tblCellMar>
            <w:top w:w="0" w:type="dxa"/>
            <w:left w:w="108" w:type="dxa"/>
            <w:bottom w:w="0" w:type="dxa"/>
            <w:right w:w="108" w:type="dxa"/>
          </w:tblCellMar>
        </w:tblPrEx>
        <w:trPr>
          <w:trHeight w:val="454" w:hRule="atLeast"/>
        </w:trPr>
        <w:tc>
          <w:tcPr>
            <w:tcW w:w="1386"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总负债</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公司总负债</w:t>
            </w:r>
          </w:p>
        </w:tc>
      </w:tr>
      <w:tr>
        <w:tblPrEx>
          <w:tblCellMar>
            <w:top w:w="0" w:type="dxa"/>
            <w:left w:w="108" w:type="dxa"/>
            <w:bottom w:w="0" w:type="dxa"/>
            <w:right w:w="108" w:type="dxa"/>
          </w:tblCellMar>
        </w:tblPrEx>
        <w:trPr>
          <w:trHeight w:val="454" w:hRule="atLeast"/>
        </w:trPr>
        <w:tc>
          <w:tcPr>
            <w:tcW w:w="1386"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收入分析</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按照三大类别（土地、投资、资产）和12个月份分别统计总收入；联查子公司某月份按收入金额的排名</w:t>
            </w:r>
          </w:p>
        </w:tc>
      </w:tr>
      <w:tr>
        <w:tblPrEx>
          <w:tblCellMar>
            <w:top w:w="0" w:type="dxa"/>
            <w:left w:w="108" w:type="dxa"/>
            <w:bottom w:w="0" w:type="dxa"/>
            <w:right w:w="108" w:type="dxa"/>
          </w:tblCellMar>
        </w:tblPrEx>
        <w:trPr>
          <w:trHeight w:val="454" w:hRule="atLeast"/>
        </w:trPr>
        <w:tc>
          <w:tcPr>
            <w:tcW w:w="1386"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利润分析</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按照三大类别（土地、投资、资产）和12个月份分别统计总利润；联查子公司某月份按利润金额的排名</w:t>
            </w:r>
          </w:p>
        </w:tc>
      </w:tr>
      <w:tr>
        <w:tblPrEx>
          <w:tblCellMar>
            <w:top w:w="0" w:type="dxa"/>
            <w:left w:w="108" w:type="dxa"/>
            <w:bottom w:w="0" w:type="dxa"/>
            <w:right w:w="108" w:type="dxa"/>
          </w:tblCellMar>
        </w:tblPrEx>
        <w:trPr>
          <w:trHeight w:val="454" w:hRule="atLeast"/>
        </w:trPr>
        <w:tc>
          <w:tcPr>
            <w:tcW w:w="1386"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分红率分析</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分析被投企业的投资额和分红率，按分红率降序排列，前五名红色显示，低于分红率标准的绿色显示</w:t>
            </w:r>
          </w:p>
        </w:tc>
      </w:tr>
      <w:tr>
        <w:tblPrEx>
          <w:tblCellMar>
            <w:top w:w="0" w:type="dxa"/>
            <w:left w:w="108" w:type="dxa"/>
            <w:bottom w:w="0" w:type="dxa"/>
            <w:right w:w="108" w:type="dxa"/>
          </w:tblCellMar>
        </w:tblPrEx>
        <w:trPr>
          <w:trHeight w:val="454" w:hRule="atLeast"/>
        </w:trPr>
        <w:tc>
          <w:tcPr>
            <w:tcW w:w="1386" w:type="pct"/>
            <w:vMerge w:val="restart"/>
            <w:tcBorders>
              <w:top w:val="nil"/>
              <w:left w:val="single" w:color="auto" w:sz="4" w:space="0"/>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股权投资</w:t>
            </w: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投资金额</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对去年、今年、增长率按季度进行对比分析；查看某一个季度项目具体信息；查看某一个季度某一个项目具体信息</w:t>
            </w:r>
          </w:p>
        </w:tc>
      </w:tr>
      <w:tr>
        <w:tblPrEx>
          <w:tblCellMar>
            <w:top w:w="0" w:type="dxa"/>
            <w:left w:w="108" w:type="dxa"/>
            <w:bottom w:w="0" w:type="dxa"/>
            <w:right w:w="108" w:type="dxa"/>
          </w:tblCellMar>
        </w:tblPrEx>
        <w:trPr>
          <w:trHeight w:val="454" w:hRule="atLeast"/>
        </w:trPr>
        <w:tc>
          <w:tcPr>
            <w:tcW w:w="1386"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净资产</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对去年、今年、增长率按季度进行对比分析；查看明细</w:t>
            </w:r>
          </w:p>
        </w:tc>
      </w:tr>
      <w:tr>
        <w:tblPrEx>
          <w:tblCellMar>
            <w:top w:w="0" w:type="dxa"/>
            <w:left w:w="108" w:type="dxa"/>
            <w:bottom w:w="0" w:type="dxa"/>
            <w:right w:w="108" w:type="dxa"/>
          </w:tblCellMar>
        </w:tblPrEx>
        <w:trPr>
          <w:trHeight w:val="454" w:hRule="atLeast"/>
        </w:trPr>
        <w:tc>
          <w:tcPr>
            <w:tcW w:w="1386"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年度分红</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按照年度对分红、收益率进行对比分析；对被投资企业投资金额、分红金额、分红率进行查看；对被投资企业基本信息、股权结构、治理结构、企业动态进行查看</w:t>
            </w:r>
          </w:p>
        </w:tc>
      </w:tr>
      <w:tr>
        <w:tblPrEx>
          <w:tblCellMar>
            <w:top w:w="0" w:type="dxa"/>
            <w:left w:w="108" w:type="dxa"/>
            <w:bottom w:w="0" w:type="dxa"/>
            <w:right w:w="108" w:type="dxa"/>
          </w:tblCellMar>
        </w:tblPrEx>
        <w:trPr>
          <w:trHeight w:val="454" w:hRule="atLeast"/>
        </w:trPr>
        <w:tc>
          <w:tcPr>
            <w:tcW w:w="1386"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投资收益构成</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对按股权、债类、基金收益三大类对投资项目进行分析；查看投资明细；查看基本信息、详细信息和其他信息</w:t>
            </w:r>
          </w:p>
        </w:tc>
      </w:tr>
      <w:tr>
        <w:tblPrEx>
          <w:tblCellMar>
            <w:top w:w="0" w:type="dxa"/>
            <w:left w:w="108" w:type="dxa"/>
            <w:bottom w:w="0" w:type="dxa"/>
            <w:right w:w="108" w:type="dxa"/>
          </w:tblCellMar>
        </w:tblPrEx>
        <w:trPr>
          <w:trHeight w:val="454" w:hRule="atLeast"/>
        </w:trPr>
        <w:tc>
          <w:tcPr>
            <w:tcW w:w="1386" w:type="pct"/>
            <w:vMerge w:val="continue"/>
            <w:tcBorders>
              <w:top w:val="nil"/>
              <w:left w:val="single" w:color="auto" w:sz="4" w:space="0"/>
              <w:bottom w:val="single" w:color="auto" w:sz="4" w:space="0"/>
              <w:right w:val="single" w:color="auto" w:sz="4" w:space="0"/>
            </w:tcBorders>
            <w:vAlign w:val="center"/>
          </w:tcPr>
          <w:p>
            <w:pPr>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color w:val="000000"/>
                <w:spacing w:val="0"/>
              </w:rPr>
            </w:pP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投资金额分布</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按金融、房地产、融资、投资、能源、其他对当年计划、当年已投资金额进行对比分析；查看投资明细；查看基本信息、详细信息和其他信息</w:t>
            </w:r>
          </w:p>
        </w:tc>
      </w:tr>
      <w:tr>
        <w:tblPrEx>
          <w:tblCellMar>
            <w:top w:w="0" w:type="dxa"/>
            <w:left w:w="108" w:type="dxa"/>
            <w:bottom w:w="0" w:type="dxa"/>
            <w:right w:w="108" w:type="dxa"/>
          </w:tblCellMar>
        </w:tblPrEx>
        <w:trPr>
          <w:trHeight w:val="454" w:hRule="atLeast"/>
        </w:trPr>
        <w:tc>
          <w:tcPr>
            <w:tcW w:w="1386" w:type="pct"/>
            <w:vMerge w:val="continue"/>
            <w:tcBorders>
              <w:top w:val="nil"/>
              <w:left w:val="single" w:color="auto" w:sz="4" w:space="0"/>
              <w:bottom w:val="single" w:color="auto" w:sz="4" w:space="0"/>
              <w:right w:val="single" w:color="auto" w:sz="4" w:space="0"/>
            </w:tcBorders>
            <w:vAlign w:val="center"/>
          </w:tcPr>
          <w:p>
            <w:pPr>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color w:val="000000"/>
                <w:spacing w:val="0"/>
              </w:rPr>
            </w:pP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投资经营地图</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查看投资明细；查看基本信息、详细信息和其他信息</w:t>
            </w:r>
          </w:p>
        </w:tc>
      </w:tr>
      <w:tr>
        <w:tblPrEx>
          <w:tblCellMar>
            <w:top w:w="0" w:type="dxa"/>
            <w:left w:w="108" w:type="dxa"/>
            <w:bottom w:w="0" w:type="dxa"/>
            <w:right w:w="108" w:type="dxa"/>
          </w:tblCellMar>
        </w:tblPrEx>
        <w:trPr>
          <w:trHeight w:val="454" w:hRule="atLeast"/>
        </w:trPr>
        <w:tc>
          <w:tcPr>
            <w:tcW w:w="1386" w:type="pct"/>
            <w:vMerge w:val="continue"/>
            <w:tcBorders>
              <w:top w:val="nil"/>
              <w:left w:val="single" w:color="auto" w:sz="4" w:space="0"/>
              <w:bottom w:val="single" w:color="auto" w:sz="4" w:space="0"/>
              <w:right w:val="single" w:color="auto" w:sz="4" w:space="0"/>
            </w:tcBorders>
            <w:vAlign w:val="center"/>
          </w:tcPr>
          <w:p>
            <w:pPr>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color w:val="000000"/>
                <w:spacing w:val="0"/>
              </w:rPr>
            </w:pP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投资项目</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按产业类型、投资规模、是否重点项目、是否属于负面清单四个维度对各个投资项目进行对比分析；查看投资明细；查看基本信息、详细信息和其他信息</w:t>
            </w:r>
          </w:p>
        </w:tc>
      </w:tr>
      <w:tr>
        <w:tblPrEx>
          <w:tblCellMar>
            <w:top w:w="0" w:type="dxa"/>
            <w:left w:w="108" w:type="dxa"/>
            <w:bottom w:w="0" w:type="dxa"/>
            <w:right w:w="108" w:type="dxa"/>
          </w:tblCellMar>
        </w:tblPrEx>
        <w:trPr>
          <w:trHeight w:val="454" w:hRule="atLeast"/>
        </w:trPr>
        <w:tc>
          <w:tcPr>
            <w:tcW w:w="1386" w:type="pct"/>
            <w:vMerge w:val="restart"/>
            <w:tcBorders>
              <w:top w:val="nil"/>
              <w:left w:val="single" w:color="auto" w:sz="4" w:space="0"/>
              <w:bottom w:val="single" w:color="auto" w:sz="4" w:space="0"/>
              <w:right w:val="single" w:color="auto" w:sz="4" w:space="0"/>
            </w:tcBorders>
            <w:shd w:val="clear" w:color="auto" w:fill="auto"/>
            <w:vAlign w:val="center"/>
          </w:tcPr>
          <w:p>
            <w:pPr>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color w:val="000000"/>
                <w:spacing w:val="0"/>
              </w:rPr>
            </w:pPr>
            <w:r>
              <w:rPr>
                <w:rFonts w:hint="eastAsia" w:ascii="方正仿宋_GBK" w:hAnsi="方正仿宋_GBK"/>
                <w:color w:val="000000"/>
                <w:spacing w:val="0"/>
              </w:rPr>
              <w:t>人力投资</w:t>
            </w: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学历结构</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员工学历分布情况；可以对对应学历范围内员工详细信息进行查看；对员工详细个人信息进行查看</w:t>
            </w:r>
          </w:p>
        </w:tc>
      </w:tr>
      <w:tr>
        <w:tblPrEx>
          <w:tblCellMar>
            <w:top w:w="0" w:type="dxa"/>
            <w:left w:w="108" w:type="dxa"/>
            <w:bottom w:w="0" w:type="dxa"/>
            <w:right w:w="108" w:type="dxa"/>
          </w:tblCellMar>
        </w:tblPrEx>
        <w:trPr>
          <w:trHeight w:val="454" w:hRule="atLeast"/>
        </w:trPr>
        <w:tc>
          <w:tcPr>
            <w:tcW w:w="1386" w:type="pct"/>
            <w:vMerge w:val="continue"/>
            <w:tcBorders>
              <w:top w:val="nil"/>
              <w:left w:val="single" w:color="auto" w:sz="4" w:space="0"/>
              <w:bottom w:val="single" w:color="auto" w:sz="4" w:space="0"/>
              <w:right w:val="single" w:color="auto" w:sz="4" w:space="0"/>
            </w:tcBorders>
            <w:vAlign w:val="center"/>
          </w:tcPr>
          <w:p>
            <w:pPr>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color w:val="000000"/>
                <w:spacing w:val="0"/>
              </w:rPr>
            </w:pP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职务结构</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员工职务分布情况；可以对对应职务范围内员工详细信息进行查看；对员工详细个人信息进行查看</w:t>
            </w:r>
          </w:p>
        </w:tc>
      </w:tr>
      <w:tr>
        <w:tblPrEx>
          <w:tblCellMar>
            <w:top w:w="0" w:type="dxa"/>
            <w:left w:w="108" w:type="dxa"/>
            <w:bottom w:w="0" w:type="dxa"/>
            <w:right w:w="108" w:type="dxa"/>
          </w:tblCellMar>
        </w:tblPrEx>
        <w:trPr>
          <w:trHeight w:val="454" w:hRule="atLeast"/>
        </w:trPr>
        <w:tc>
          <w:tcPr>
            <w:tcW w:w="1386" w:type="pct"/>
            <w:vMerge w:val="continue"/>
            <w:tcBorders>
              <w:top w:val="nil"/>
              <w:left w:val="single" w:color="auto" w:sz="4" w:space="0"/>
              <w:bottom w:val="single" w:color="auto" w:sz="4" w:space="0"/>
              <w:right w:val="single" w:color="auto" w:sz="4" w:space="0"/>
            </w:tcBorders>
            <w:vAlign w:val="center"/>
          </w:tcPr>
          <w:p>
            <w:pPr>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color w:val="000000"/>
                <w:spacing w:val="0"/>
              </w:rPr>
            </w:pP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年龄结构</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员工年龄分布情况；可以对对应年龄范围内员工详细信息进行查看；对员工详细个人信息进行查看</w:t>
            </w:r>
          </w:p>
        </w:tc>
      </w:tr>
      <w:tr>
        <w:tblPrEx>
          <w:tblCellMar>
            <w:top w:w="0" w:type="dxa"/>
            <w:left w:w="108" w:type="dxa"/>
            <w:bottom w:w="0" w:type="dxa"/>
            <w:right w:w="108" w:type="dxa"/>
          </w:tblCellMar>
        </w:tblPrEx>
        <w:trPr>
          <w:trHeight w:val="454" w:hRule="atLeast"/>
        </w:trPr>
        <w:tc>
          <w:tcPr>
            <w:tcW w:w="1386" w:type="pct"/>
            <w:vMerge w:val="continue"/>
            <w:tcBorders>
              <w:top w:val="nil"/>
              <w:left w:val="single" w:color="auto" w:sz="4" w:space="0"/>
              <w:bottom w:val="single" w:color="auto" w:sz="4" w:space="0"/>
              <w:right w:val="single" w:color="auto" w:sz="4" w:space="0"/>
            </w:tcBorders>
            <w:vAlign w:val="center"/>
          </w:tcPr>
          <w:p>
            <w:pPr>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color w:val="000000"/>
                <w:spacing w:val="0"/>
              </w:rPr>
            </w:pP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lang w:eastAsia="zh-CN"/>
              </w:rPr>
              <w:t>司龄</w:t>
            </w:r>
            <w:r>
              <w:rPr>
                <w:rFonts w:hint="eastAsia" w:ascii="方正仿宋_GBK" w:hAnsi="方正仿宋_GBK"/>
              </w:rPr>
              <w:t>结构</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员工司龄分布情况；可以对对应司龄范围内员工详细信息进行查看；对员工详细个人信息进行查看</w:t>
            </w:r>
          </w:p>
        </w:tc>
      </w:tr>
      <w:tr>
        <w:tblPrEx>
          <w:tblCellMar>
            <w:top w:w="0" w:type="dxa"/>
            <w:left w:w="108" w:type="dxa"/>
            <w:bottom w:w="0" w:type="dxa"/>
            <w:right w:w="108" w:type="dxa"/>
          </w:tblCellMar>
        </w:tblPrEx>
        <w:trPr>
          <w:trHeight w:val="454" w:hRule="atLeast"/>
        </w:trPr>
        <w:tc>
          <w:tcPr>
            <w:tcW w:w="1386" w:type="pct"/>
            <w:vMerge w:val="continue"/>
            <w:tcBorders>
              <w:top w:val="nil"/>
              <w:left w:val="single" w:color="auto" w:sz="4" w:space="0"/>
              <w:bottom w:val="single" w:color="auto" w:sz="4" w:space="0"/>
              <w:right w:val="single" w:color="auto" w:sz="4" w:space="0"/>
            </w:tcBorders>
            <w:vAlign w:val="center"/>
          </w:tcPr>
          <w:p>
            <w:pPr>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color w:val="000000"/>
                <w:spacing w:val="0"/>
              </w:rPr>
            </w:pP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组织结构</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集团下属各</w:t>
            </w:r>
            <w:r>
              <w:rPr>
                <w:rFonts w:hint="eastAsia" w:ascii="方正仿宋_GBK" w:hAnsi="方正仿宋_GBK"/>
                <w:lang w:eastAsia="zh-CN"/>
              </w:rPr>
              <w:t>板块</w:t>
            </w:r>
            <w:r>
              <w:rPr>
                <w:rFonts w:hint="eastAsia" w:ascii="方正仿宋_GBK" w:hAnsi="方正仿宋_GBK"/>
              </w:rPr>
              <w:t>到子公司的人员分布情况；输入某个具体员工名字点搜索按钮，对该员工详细信息查看</w:t>
            </w:r>
          </w:p>
        </w:tc>
      </w:tr>
      <w:tr>
        <w:tblPrEx>
          <w:tblCellMar>
            <w:top w:w="0" w:type="dxa"/>
            <w:left w:w="108" w:type="dxa"/>
            <w:bottom w:w="0" w:type="dxa"/>
            <w:right w:w="108" w:type="dxa"/>
          </w:tblCellMar>
        </w:tblPrEx>
        <w:trPr>
          <w:trHeight w:val="454" w:hRule="atLeast"/>
        </w:trPr>
        <w:tc>
          <w:tcPr>
            <w:tcW w:w="1386" w:type="pct"/>
            <w:vMerge w:val="continue"/>
            <w:tcBorders>
              <w:top w:val="nil"/>
              <w:left w:val="single" w:color="auto" w:sz="4" w:space="0"/>
              <w:bottom w:val="single" w:color="auto" w:sz="4" w:space="0"/>
              <w:right w:val="single" w:color="auto" w:sz="4" w:space="0"/>
            </w:tcBorders>
            <w:vAlign w:val="center"/>
          </w:tcPr>
          <w:p>
            <w:pPr>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color w:val="000000"/>
                <w:spacing w:val="0"/>
              </w:rPr>
            </w:pP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重要干部任免</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选择对应党委会，可以查看重要 干部任免情况；可查看其基本信息、学历学位、任免审批信息</w:t>
            </w:r>
          </w:p>
        </w:tc>
      </w:tr>
      <w:tr>
        <w:tblPrEx>
          <w:tblCellMar>
            <w:top w:w="0" w:type="dxa"/>
            <w:left w:w="108" w:type="dxa"/>
            <w:bottom w:w="0" w:type="dxa"/>
            <w:right w:w="108" w:type="dxa"/>
          </w:tblCellMar>
        </w:tblPrEx>
        <w:trPr>
          <w:trHeight w:val="454" w:hRule="atLeast"/>
        </w:trPr>
        <w:tc>
          <w:tcPr>
            <w:tcW w:w="1386" w:type="pct"/>
            <w:vMerge w:val="continue"/>
            <w:tcBorders>
              <w:top w:val="nil"/>
              <w:left w:val="single" w:color="auto" w:sz="4" w:space="0"/>
              <w:bottom w:val="single" w:color="auto" w:sz="4" w:space="0"/>
              <w:right w:val="single" w:color="auto" w:sz="4" w:space="0"/>
            </w:tcBorders>
            <w:vAlign w:val="center"/>
          </w:tcPr>
          <w:p>
            <w:pPr>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color w:val="000000"/>
                <w:spacing w:val="0"/>
              </w:rPr>
            </w:pP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委派人员</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出资企业委派人员分布情况；查看明细</w:t>
            </w:r>
          </w:p>
        </w:tc>
      </w:tr>
      <w:tr>
        <w:tblPrEx>
          <w:tblCellMar>
            <w:top w:w="0" w:type="dxa"/>
            <w:left w:w="108" w:type="dxa"/>
            <w:bottom w:w="0" w:type="dxa"/>
            <w:right w:w="108" w:type="dxa"/>
          </w:tblCellMar>
        </w:tblPrEx>
        <w:trPr>
          <w:trHeight w:val="454" w:hRule="atLeast"/>
        </w:trPr>
        <w:tc>
          <w:tcPr>
            <w:tcW w:w="1386" w:type="pct"/>
            <w:vMerge w:val="continue"/>
            <w:tcBorders>
              <w:top w:val="nil"/>
              <w:left w:val="single" w:color="auto" w:sz="4" w:space="0"/>
              <w:bottom w:val="single" w:color="auto" w:sz="4" w:space="0"/>
              <w:right w:val="single" w:color="auto" w:sz="4" w:space="0"/>
            </w:tcBorders>
            <w:vAlign w:val="center"/>
          </w:tcPr>
          <w:p>
            <w:pPr>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color w:val="000000"/>
                <w:spacing w:val="0"/>
              </w:rPr>
            </w:pP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绩效等级</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上年度集团员工的绩效考核等级分布；查看在某一个等级下各个组织板块占比情况；可以查看在此条件下具体员工信息</w:t>
            </w:r>
          </w:p>
        </w:tc>
      </w:tr>
      <w:tr>
        <w:tblPrEx>
          <w:tblCellMar>
            <w:top w:w="0" w:type="dxa"/>
            <w:left w:w="108" w:type="dxa"/>
            <w:bottom w:w="0" w:type="dxa"/>
            <w:right w:w="108" w:type="dxa"/>
          </w:tblCellMar>
        </w:tblPrEx>
        <w:trPr>
          <w:trHeight w:val="454" w:hRule="atLeast"/>
        </w:trPr>
        <w:tc>
          <w:tcPr>
            <w:tcW w:w="1386" w:type="pct"/>
            <w:vMerge w:val="continue"/>
            <w:tcBorders>
              <w:top w:val="nil"/>
              <w:left w:val="single" w:color="auto" w:sz="4" w:space="0"/>
              <w:bottom w:val="single" w:color="auto" w:sz="4" w:space="0"/>
              <w:right w:val="single" w:color="auto" w:sz="4" w:space="0"/>
            </w:tcBorders>
            <w:vAlign w:val="center"/>
          </w:tcPr>
          <w:p>
            <w:pPr>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color w:val="000000"/>
                <w:spacing w:val="0"/>
              </w:rPr>
            </w:pP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薪酬区间</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上年度集团员工的绩效考核等级分布；查看在某一个等级下各个组织板块占比情况；可以查看在此条件下具体员工信息</w:t>
            </w:r>
          </w:p>
        </w:tc>
      </w:tr>
      <w:tr>
        <w:tblPrEx>
          <w:tblCellMar>
            <w:top w:w="0" w:type="dxa"/>
            <w:left w:w="108" w:type="dxa"/>
            <w:bottom w:w="0" w:type="dxa"/>
            <w:right w:w="108" w:type="dxa"/>
          </w:tblCellMar>
        </w:tblPrEx>
        <w:trPr>
          <w:trHeight w:val="454" w:hRule="atLeast"/>
        </w:trPr>
        <w:tc>
          <w:tcPr>
            <w:tcW w:w="1386" w:type="pct"/>
            <w:vMerge w:val="continue"/>
            <w:tcBorders>
              <w:top w:val="nil"/>
              <w:left w:val="single" w:color="auto" w:sz="4" w:space="0"/>
              <w:bottom w:val="single" w:color="auto" w:sz="4" w:space="0"/>
              <w:right w:val="single" w:color="auto" w:sz="4" w:space="0"/>
            </w:tcBorders>
            <w:vAlign w:val="center"/>
          </w:tcPr>
          <w:p>
            <w:pPr>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color w:val="000000"/>
                <w:spacing w:val="0"/>
              </w:rPr>
            </w:pP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薪酬总额</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上年度集团员工的绩效考核等级分布；查看在某一个等级下各个组织板块占比情况；可以查看在此条件下具体员工信息</w:t>
            </w:r>
          </w:p>
        </w:tc>
      </w:tr>
      <w:tr>
        <w:tblPrEx>
          <w:tblCellMar>
            <w:top w:w="0" w:type="dxa"/>
            <w:left w:w="108" w:type="dxa"/>
            <w:bottom w:w="0" w:type="dxa"/>
            <w:right w:w="108" w:type="dxa"/>
          </w:tblCellMar>
        </w:tblPrEx>
        <w:trPr>
          <w:trHeight w:val="454" w:hRule="atLeast"/>
        </w:trPr>
        <w:tc>
          <w:tcPr>
            <w:tcW w:w="1386" w:type="pct"/>
            <w:vMerge w:val="continue"/>
            <w:tcBorders>
              <w:top w:val="nil"/>
              <w:left w:val="single" w:color="auto" w:sz="4" w:space="0"/>
              <w:bottom w:val="single" w:color="auto" w:sz="4" w:space="0"/>
              <w:right w:val="single" w:color="auto" w:sz="4" w:space="0"/>
            </w:tcBorders>
            <w:vAlign w:val="center"/>
          </w:tcPr>
          <w:p>
            <w:pPr>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color w:val="000000"/>
                <w:spacing w:val="0"/>
              </w:rPr>
            </w:pP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板块薪酬</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可以查看各组织板块固定工资总额、绩效工资总额、平均工资进行对比；可查看明细</w:t>
            </w:r>
          </w:p>
        </w:tc>
      </w:tr>
      <w:tr>
        <w:tblPrEx>
          <w:tblCellMar>
            <w:top w:w="0" w:type="dxa"/>
            <w:left w:w="108" w:type="dxa"/>
            <w:bottom w:w="0" w:type="dxa"/>
            <w:right w:w="108" w:type="dxa"/>
          </w:tblCellMar>
        </w:tblPrEx>
        <w:trPr>
          <w:trHeight w:val="454" w:hRule="atLeast"/>
        </w:trPr>
        <w:tc>
          <w:tcPr>
            <w:tcW w:w="1386" w:type="pct"/>
            <w:vMerge w:val="continue"/>
            <w:tcBorders>
              <w:top w:val="nil"/>
              <w:left w:val="single" w:color="auto" w:sz="4" w:space="0"/>
              <w:bottom w:val="single" w:color="auto" w:sz="4" w:space="0"/>
              <w:right w:val="single" w:color="auto" w:sz="4" w:space="0"/>
            </w:tcBorders>
            <w:vAlign w:val="center"/>
          </w:tcPr>
          <w:p>
            <w:pPr>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color w:val="000000"/>
                <w:spacing w:val="0"/>
              </w:rPr>
            </w:pP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单位薪酬总额</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可以查看各公司固定工资总额、绩效工资总额、平均工资进行对比；可查看明细</w:t>
            </w:r>
          </w:p>
        </w:tc>
      </w:tr>
      <w:tr>
        <w:tblPrEx>
          <w:tblCellMar>
            <w:top w:w="0" w:type="dxa"/>
            <w:left w:w="108" w:type="dxa"/>
            <w:bottom w:w="0" w:type="dxa"/>
            <w:right w:w="108" w:type="dxa"/>
          </w:tblCellMar>
        </w:tblPrEx>
        <w:trPr>
          <w:trHeight w:val="454" w:hRule="atLeast"/>
        </w:trPr>
        <w:tc>
          <w:tcPr>
            <w:tcW w:w="1386" w:type="pct"/>
            <w:vMerge w:val="continue"/>
            <w:tcBorders>
              <w:top w:val="nil"/>
              <w:left w:val="single" w:color="auto" w:sz="4" w:space="0"/>
              <w:bottom w:val="single" w:color="auto" w:sz="4" w:space="0"/>
              <w:right w:val="single" w:color="auto" w:sz="4" w:space="0"/>
            </w:tcBorders>
            <w:vAlign w:val="center"/>
          </w:tcPr>
          <w:p>
            <w:pPr>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color w:val="000000"/>
                <w:spacing w:val="0"/>
              </w:rPr>
            </w:pP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人员薪酬占比</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可以查看在管理序列、业务序列、运营支撑序列、职能序列四个维度对员工工资薪酬进行分析；可查看明细</w:t>
            </w:r>
          </w:p>
        </w:tc>
      </w:tr>
      <w:tr>
        <w:tblPrEx>
          <w:tblCellMar>
            <w:top w:w="0" w:type="dxa"/>
            <w:left w:w="108" w:type="dxa"/>
            <w:bottom w:w="0" w:type="dxa"/>
            <w:right w:w="108" w:type="dxa"/>
          </w:tblCellMar>
        </w:tblPrEx>
        <w:trPr>
          <w:trHeight w:val="454" w:hRule="atLeast"/>
        </w:trPr>
        <w:tc>
          <w:tcPr>
            <w:tcW w:w="1386" w:type="pct"/>
            <w:vMerge w:val="restart"/>
            <w:tcBorders>
              <w:top w:val="nil"/>
              <w:left w:val="single" w:color="auto" w:sz="4" w:space="0"/>
              <w:bottom w:val="single" w:color="auto" w:sz="4" w:space="0"/>
              <w:right w:val="single" w:color="auto" w:sz="4" w:space="0"/>
            </w:tcBorders>
            <w:shd w:val="clear" w:color="auto" w:fill="auto"/>
            <w:vAlign w:val="center"/>
          </w:tcPr>
          <w:p>
            <w:pPr>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color w:val="000000"/>
                <w:spacing w:val="0"/>
              </w:rPr>
            </w:pPr>
            <w:r>
              <w:rPr>
                <w:rFonts w:hint="eastAsia" w:ascii="方正仿宋_GBK" w:hAnsi="方正仿宋_GBK"/>
                <w:color w:val="000000"/>
                <w:spacing w:val="0"/>
              </w:rPr>
              <w:t>资产管理</w:t>
            </w: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基建类</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汇总所有征收类项目的年度计划投资、四季度计划投资；可查看明细</w:t>
            </w:r>
          </w:p>
        </w:tc>
      </w:tr>
      <w:tr>
        <w:tblPrEx>
          <w:tblCellMar>
            <w:top w:w="0" w:type="dxa"/>
            <w:left w:w="108" w:type="dxa"/>
            <w:bottom w:w="0" w:type="dxa"/>
            <w:right w:w="108" w:type="dxa"/>
          </w:tblCellMar>
        </w:tblPrEx>
        <w:trPr>
          <w:trHeight w:val="454" w:hRule="atLeast"/>
        </w:trPr>
        <w:tc>
          <w:tcPr>
            <w:tcW w:w="1386" w:type="pct"/>
            <w:vMerge w:val="continue"/>
            <w:tcBorders>
              <w:top w:val="nil"/>
              <w:left w:val="single" w:color="auto" w:sz="4" w:space="0"/>
              <w:bottom w:val="single" w:color="auto" w:sz="4" w:space="0"/>
              <w:right w:val="single" w:color="auto" w:sz="4" w:space="0"/>
            </w:tcBorders>
            <w:vAlign w:val="center"/>
          </w:tcPr>
          <w:p>
            <w:pPr>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color w:val="000000"/>
                <w:spacing w:val="0"/>
              </w:rPr>
            </w:pP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出让类</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按照四个季度每个出让类项目的计划进度和实际进度对比；可查看明细</w:t>
            </w:r>
          </w:p>
        </w:tc>
      </w:tr>
      <w:tr>
        <w:tblPrEx>
          <w:tblCellMar>
            <w:top w:w="0" w:type="dxa"/>
            <w:left w:w="108" w:type="dxa"/>
            <w:bottom w:w="0" w:type="dxa"/>
            <w:right w:w="108" w:type="dxa"/>
          </w:tblCellMar>
        </w:tblPrEx>
        <w:trPr>
          <w:trHeight w:val="454" w:hRule="atLeast"/>
        </w:trPr>
        <w:tc>
          <w:tcPr>
            <w:tcW w:w="1386" w:type="pct"/>
            <w:vMerge w:val="continue"/>
            <w:tcBorders>
              <w:top w:val="nil"/>
              <w:left w:val="single" w:color="auto" w:sz="4" w:space="0"/>
              <w:bottom w:val="single" w:color="auto" w:sz="4" w:space="0"/>
              <w:right w:val="single" w:color="auto" w:sz="4" w:space="0"/>
            </w:tcBorders>
            <w:vAlign w:val="center"/>
          </w:tcPr>
          <w:p>
            <w:pPr>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color w:val="000000"/>
                <w:spacing w:val="0"/>
              </w:rPr>
            </w:pP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房产类</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针对实际资产管理总面积、现有经营面积、收入情况进行数据展示</w:t>
            </w:r>
          </w:p>
        </w:tc>
      </w:tr>
      <w:tr>
        <w:tblPrEx>
          <w:tblCellMar>
            <w:top w:w="0" w:type="dxa"/>
            <w:left w:w="108" w:type="dxa"/>
            <w:bottom w:w="0" w:type="dxa"/>
            <w:right w:w="108" w:type="dxa"/>
          </w:tblCellMar>
        </w:tblPrEx>
        <w:trPr>
          <w:trHeight w:val="454" w:hRule="atLeast"/>
        </w:trPr>
        <w:tc>
          <w:tcPr>
            <w:tcW w:w="1386" w:type="pct"/>
            <w:vMerge w:val="continue"/>
            <w:tcBorders>
              <w:top w:val="nil"/>
              <w:left w:val="single" w:color="auto" w:sz="4" w:space="0"/>
              <w:bottom w:val="single" w:color="auto" w:sz="4" w:space="0"/>
              <w:right w:val="single" w:color="auto" w:sz="4" w:space="0"/>
            </w:tcBorders>
            <w:vAlign w:val="center"/>
          </w:tcPr>
          <w:p>
            <w:pPr>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color w:val="000000"/>
                <w:spacing w:val="0"/>
              </w:rPr>
            </w:pPr>
          </w:p>
        </w:tc>
        <w:tc>
          <w:tcPr>
            <w:tcW w:w="1584"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土地管理</w:t>
            </w:r>
          </w:p>
        </w:tc>
        <w:tc>
          <w:tcPr>
            <w:tcW w:w="20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针对实际管理宗地数、总面积、现有经营宗地数、总面积、总收入进行数据展示</w:t>
            </w:r>
          </w:p>
        </w:tc>
      </w:tr>
    </w:tbl>
    <w:p>
      <w:pPr>
        <w:kinsoku/>
        <w:wordWrap/>
        <w:topLinePunct w:val="0"/>
        <w:autoSpaceDE/>
        <w:autoSpaceDN/>
        <w:bidi w:val="0"/>
        <w:spacing w:line="560" w:lineRule="exact"/>
        <w:ind w:firstLine="604"/>
        <w:rPr>
          <w:rFonts w:ascii="方正仿宋_GBK" w:hAnsi="方正仿宋_GBK"/>
          <w:snapToGrid w:val="0"/>
        </w:rPr>
      </w:pPr>
    </w:p>
    <w:p>
      <w:pPr>
        <w:pStyle w:val="8"/>
        <w:kinsoku/>
        <w:wordWrap/>
        <w:topLinePunct w:val="0"/>
        <w:autoSpaceDE/>
        <w:autoSpaceDN/>
        <w:bidi w:val="0"/>
        <w:spacing w:before="198" w:after="198" w:line="560" w:lineRule="exact"/>
      </w:pPr>
      <w:r>
        <w:rPr>
          <w:rFonts w:hint="eastAsia"/>
        </w:rPr>
        <w:t>总经理驾驶舱</w:t>
      </w:r>
    </w:p>
    <w:p>
      <w:pPr>
        <w:keepNext/>
        <w:widowControl w:val="0"/>
        <w:numPr>
          <w:ilvl w:val="0"/>
          <w:numId w:val="18"/>
        </w:numPr>
        <w:kinsoku/>
        <w:wordWrap/>
        <w:topLinePunct w:val="0"/>
        <w:autoSpaceDE/>
        <w:autoSpaceDN/>
        <w:bidi w:val="0"/>
        <w:spacing w:before="397" w:beforeLines="100" w:line="560" w:lineRule="exact"/>
        <w:ind w:firstLineChars="0"/>
        <w:jc w:val="center"/>
        <w:textAlignment w:val="center"/>
        <w:rPr>
          <w:rFonts w:cs="Times New Roman"/>
          <w:snapToGrid w:val="0"/>
        </w:rPr>
      </w:pPr>
      <w:r>
        <w:rPr>
          <w:rFonts w:hint="eastAsia" w:cs="Times New Roman"/>
          <w:snapToGrid w:val="0"/>
        </w:rPr>
        <w:t>总经理驾驶舱</w:t>
      </w:r>
    </w:p>
    <w:tbl>
      <w:tblPr>
        <w:tblStyle w:val="11"/>
        <w:tblW w:w="0" w:type="auto"/>
        <w:tblInd w:w="0" w:type="dxa"/>
        <w:tblLayout w:type="autofit"/>
        <w:tblCellMar>
          <w:top w:w="0" w:type="dxa"/>
          <w:left w:w="108" w:type="dxa"/>
          <w:bottom w:w="0" w:type="dxa"/>
          <w:right w:w="108" w:type="dxa"/>
        </w:tblCellMar>
      </w:tblPr>
      <w:tblGrid>
        <w:gridCol w:w="2303"/>
        <w:gridCol w:w="2310"/>
        <w:gridCol w:w="3683"/>
      </w:tblGrid>
      <w:tr>
        <w:tblPrEx>
          <w:tblCellMar>
            <w:top w:w="0" w:type="dxa"/>
            <w:left w:w="108" w:type="dxa"/>
            <w:bottom w:w="0" w:type="dxa"/>
            <w:right w:w="108" w:type="dxa"/>
          </w:tblCellMar>
        </w:tblPrEx>
        <w:trPr>
          <w:trHeight w:val="624" w:hRule="atLeast"/>
          <w:tblHeader/>
        </w:trPr>
        <w:tc>
          <w:tcPr>
            <w:tcW w:w="2303" w:type="dxa"/>
            <w:tcBorders>
              <w:top w:val="single" w:color="auto" w:sz="4" w:space="0"/>
              <w:left w:val="single" w:color="auto" w:sz="4" w:space="0"/>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rPr>
                <w:b/>
                <w:bCs/>
              </w:rPr>
            </w:pPr>
            <w:r>
              <w:rPr>
                <w:rFonts w:hint="eastAsia"/>
                <w:b/>
                <w:bCs/>
              </w:rPr>
              <w:t>一级分析主题</w:t>
            </w:r>
          </w:p>
        </w:tc>
        <w:tc>
          <w:tcPr>
            <w:tcW w:w="2310" w:type="dxa"/>
            <w:tcBorders>
              <w:top w:val="single" w:color="auto" w:sz="4" w:space="0"/>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rPr>
                <w:b/>
                <w:bCs/>
              </w:rPr>
            </w:pPr>
            <w:r>
              <w:rPr>
                <w:rFonts w:hint="eastAsia"/>
                <w:b/>
                <w:bCs/>
              </w:rPr>
              <w:t>二级分析主题</w:t>
            </w:r>
          </w:p>
        </w:tc>
        <w:tc>
          <w:tcPr>
            <w:tcW w:w="3683" w:type="dxa"/>
            <w:tcBorders>
              <w:top w:val="single" w:color="auto" w:sz="4" w:space="0"/>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rPr>
                <w:b/>
                <w:bCs/>
              </w:rPr>
            </w:pPr>
            <w:r>
              <w:rPr>
                <w:rFonts w:hint="eastAsia"/>
                <w:b/>
                <w:bCs/>
              </w:rPr>
              <w:t>详细分析内容</w:t>
            </w:r>
          </w:p>
        </w:tc>
      </w:tr>
      <w:tr>
        <w:tblPrEx>
          <w:tblCellMar>
            <w:top w:w="0" w:type="dxa"/>
            <w:left w:w="108" w:type="dxa"/>
            <w:bottom w:w="0" w:type="dxa"/>
            <w:right w:w="108" w:type="dxa"/>
          </w:tblCellMar>
        </w:tblPrEx>
        <w:trPr>
          <w:trHeight w:val="454" w:hRule="atLeast"/>
        </w:trPr>
        <w:tc>
          <w:tcPr>
            <w:tcW w:w="2303" w:type="dxa"/>
            <w:vMerge w:val="restart"/>
            <w:tcBorders>
              <w:top w:val="nil"/>
              <w:left w:val="single" w:color="auto" w:sz="4" w:space="0"/>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运营管理</w:t>
            </w:r>
          </w:p>
        </w:tc>
        <w:tc>
          <w:tcPr>
            <w:tcW w:w="2310"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经营考核</w:t>
            </w:r>
          </w:p>
        </w:tc>
        <w:tc>
          <w:tcPr>
            <w:tcW w:w="3683"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各子公司考核指标的构成分析，并罗列每一项指标得分；根据考核指标，得出分值；大于季度时间所得分的为绿灯、10%以内偏差的黄灯、大于10%偏差的红灯</w:t>
            </w:r>
          </w:p>
        </w:tc>
      </w:tr>
      <w:tr>
        <w:tblPrEx>
          <w:tblCellMar>
            <w:top w:w="0" w:type="dxa"/>
            <w:left w:w="108" w:type="dxa"/>
            <w:bottom w:w="0" w:type="dxa"/>
            <w:right w:w="108" w:type="dxa"/>
          </w:tblCellMar>
        </w:tblPrEx>
        <w:trPr>
          <w:trHeight w:val="454" w:hRule="atLeast"/>
        </w:trPr>
        <w:tc>
          <w:tcPr>
            <w:tcW w:w="2303" w:type="dxa"/>
            <w:vMerge w:val="continue"/>
            <w:tcBorders>
              <w:top w:val="nil"/>
              <w:left w:val="single" w:color="auto" w:sz="4" w:space="0"/>
              <w:bottom w:val="single" w:color="auto" w:sz="4" w:space="0"/>
              <w:right w:val="single" w:color="auto" w:sz="4" w:space="0"/>
            </w:tcBorders>
            <w:vAlign w:val="center"/>
          </w:tcPr>
          <w:p>
            <w:pPr>
              <w:kinsoku/>
              <w:wordWrap/>
              <w:topLinePunct w:val="0"/>
              <w:autoSpaceDE/>
              <w:autoSpaceDN/>
              <w:bidi w:val="0"/>
              <w:spacing w:line="560" w:lineRule="exact"/>
              <w:ind w:firstLine="0" w:firstLineChars="0"/>
              <w:jc w:val="center"/>
            </w:pPr>
          </w:p>
        </w:tc>
        <w:tc>
          <w:tcPr>
            <w:tcW w:w="2310"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营业收入</w:t>
            </w:r>
          </w:p>
        </w:tc>
        <w:tc>
          <w:tcPr>
            <w:tcW w:w="3683"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公司营业收入</w:t>
            </w:r>
          </w:p>
        </w:tc>
      </w:tr>
      <w:tr>
        <w:tblPrEx>
          <w:tblCellMar>
            <w:top w:w="0" w:type="dxa"/>
            <w:left w:w="108" w:type="dxa"/>
            <w:bottom w:w="0" w:type="dxa"/>
            <w:right w:w="108" w:type="dxa"/>
          </w:tblCellMar>
        </w:tblPrEx>
        <w:trPr>
          <w:trHeight w:val="454" w:hRule="atLeast"/>
        </w:trPr>
        <w:tc>
          <w:tcPr>
            <w:tcW w:w="2303" w:type="dxa"/>
            <w:vMerge w:val="continue"/>
            <w:tcBorders>
              <w:top w:val="nil"/>
              <w:left w:val="single" w:color="auto" w:sz="4" w:space="0"/>
              <w:bottom w:val="single" w:color="auto" w:sz="4" w:space="0"/>
              <w:right w:val="single" w:color="auto" w:sz="4" w:space="0"/>
            </w:tcBorders>
            <w:vAlign w:val="center"/>
          </w:tcPr>
          <w:p>
            <w:pPr>
              <w:kinsoku/>
              <w:wordWrap/>
              <w:topLinePunct w:val="0"/>
              <w:autoSpaceDE/>
              <w:autoSpaceDN/>
              <w:bidi w:val="0"/>
              <w:spacing w:line="560" w:lineRule="exact"/>
              <w:ind w:firstLine="0" w:firstLineChars="0"/>
              <w:jc w:val="center"/>
            </w:pPr>
          </w:p>
        </w:tc>
        <w:tc>
          <w:tcPr>
            <w:tcW w:w="2310"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利润</w:t>
            </w:r>
          </w:p>
        </w:tc>
        <w:tc>
          <w:tcPr>
            <w:tcW w:w="3683"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公司利润</w:t>
            </w:r>
          </w:p>
        </w:tc>
      </w:tr>
      <w:tr>
        <w:tblPrEx>
          <w:tblCellMar>
            <w:top w:w="0" w:type="dxa"/>
            <w:left w:w="108" w:type="dxa"/>
            <w:bottom w:w="0" w:type="dxa"/>
            <w:right w:w="108" w:type="dxa"/>
          </w:tblCellMar>
        </w:tblPrEx>
        <w:trPr>
          <w:trHeight w:val="454" w:hRule="atLeast"/>
        </w:trPr>
        <w:tc>
          <w:tcPr>
            <w:tcW w:w="2303" w:type="dxa"/>
            <w:vMerge w:val="continue"/>
            <w:tcBorders>
              <w:top w:val="nil"/>
              <w:left w:val="single" w:color="auto" w:sz="4" w:space="0"/>
              <w:bottom w:val="single" w:color="auto" w:sz="4" w:space="0"/>
              <w:right w:val="single" w:color="auto" w:sz="4" w:space="0"/>
            </w:tcBorders>
            <w:vAlign w:val="center"/>
          </w:tcPr>
          <w:p>
            <w:pPr>
              <w:kinsoku/>
              <w:wordWrap/>
              <w:topLinePunct w:val="0"/>
              <w:autoSpaceDE/>
              <w:autoSpaceDN/>
              <w:bidi w:val="0"/>
              <w:spacing w:line="560" w:lineRule="exact"/>
              <w:ind w:firstLine="0" w:firstLineChars="0"/>
              <w:jc w:val="center"/>
            </w:pPr>
          </w:p>
        </w:tc>
        <w:tc>
          <w:tcPr>
            <w:tcW w:w="2310"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净资产</w:t>
            </w:r>
          </w:p>
        </w:tc>
        <w:tc>
          <w:tcPr>
            <w:tcW w:w="3683"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公司净资产</w:t>
            </w:r>
          </w:p>
        </w:tc>
      </w:tr>
      <w:tr>
        <w:tblPrEx>
          <w:tblCellMar>
            <w:top w:w="0" w:type="dxa"/>
            <w:left w:w="108" w:type="dxa"/>
            <w:bottom w:w="0" w:type="dxa"/>
            <w:right w:w="108" w:type="dxa"/>
          </w:tblCellMar>
        </w:tblPrEx>
        <w:trPr>
          <w:trHeight w:val="454" w:hRule="atLeast"/>
        </w:trPr>
        <w:tc>
          <w:tcPr>
            <w:tcW w:w="2303" w:type="dxa"/>
            <w:vMerge w:val="continue"/>
            <w:tcBorders>
              <w:top w:val="nil"/>
              <w:left w:val="single" w:color="auto" w:sz="4" w:space="0"/>
              <w:bottom w:val="single" w:color="auto" w:sz="4" w:space="0"/>
              <w:right w:val="single" w:color="auto" w:sz="4" w:space="0"/>
            </w:tcBorders>
            <w:vAlign w:val="center"/>
          </w:tcPr>
          <w:p>
            <w:pPr>
              <w:kinsoku/>
              <w:wordWrap/>
              <w:topLinePunct w:val="0"/>
              <w:autoSpaceDE/>
              <w:autoSpaceDN/>
              <w:bidi w:val="0"/>
              <w:spacing w:line="560" w:lineRule="exact"/>
              <w:ind w:firstLine="0" w:firstLineChars="0"/>
              <w:jc w:val="center"/>
            </w:pPr>
          </w:p>
        </w:tc>
        <w:tc>
          <w:tcPr>
            <w:tcW w:w="2310"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人员分布</w:t>
            </w:r>
          </w:p>
        </w:tc>
        <w:tc>
          <w:tcPr>
            <w:tcW w:w="3683"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按照职务类别统计集团人员分布占比；联查每一类别中人员的明细信息</w:t>
            </w:r>
          </w:p>
        </w:tc>
      </w:tr>
      <w:tr>
        <w:tblPrEx>
          <w:tblCellMar>
            <w:top w:w="0" w:type="dxa"/>
            <w:left w:w="108" w:type="dxa"/>
            <w:bottom w:w="0" w:type="dxa"/>
            <w:right w:w="108" w:type="dxa"/>
          </w:tblCellMar>
        </w:tblPrEx>
        <w:trPr>
          <w:trHeight w:val="454" w:hRule="atLeast"/>
        </w:trPr>
        <w:tc>
          <w:tcPr>
            <w:tcW w:w="2303" w:type="dxa"/>
            <w:vMerge w:val="continue"/>
            <w:tcBorders>
              <w:top w:val="nil"/>
              <w:left w:val="single" w:color="auto" w:sz="4" w:space="0"/>
              <w:bottom w:val="single" w:color="auto" w:sz="4" w:space="0"/>
              <w:right w:val="single" w:color="auto" w:sz="4" w:space="0"/>
            </w:tcBorders>
            <w:vAlign w:val="center"/>
          </w:tcPr>
          <w:p>
            <w:pPr>
              <w:kinsoku/>
              <w:wordWrap/>
              <w:topLinePunct w:val="0"/>
              <w:autoSpaceDE/>
              <w:autoSpaceDN/>
              <w:bidi w:val="0"/>
              <w:spacing w:line="560" w:lineRule="exact"/>
              <w:ind w:firstLine="0" w:firstLineChars="0"/>
              <w:jc w:val="center"/>
            </w:pPr>
          </w:p>
        </w:tc>
        <w:tc>
          <w:tcPr>
            <w:tcW w:w="2310"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职级构成</w:t>
            </w:r>
          </w:p>
        </w:tc>
        <w:tc>
          <w:tcPr>
            <w:tcW w:w="3683"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联查每一类别中人员职级构成情况</w:t>
            </w:r>
          </w:p>
        </w:tc>
      </w:tr>
      <w:tr>
        <w:tblPrEx>
          <w:tblCellMar>
            <w:top w:w="0" w:type="dxa"/>
            <w:left w:w="108" w:type="dxa"/>
            <w:bottom w:w="0" w:type="dxa"/>
            <w:right w:w="108" w:type="dxa"/>
          </w:tblCellMar>
        </w:tblPrEx>
        <w:trPr>
          <w:trHeight w:val="454" w:hRule="atLeast"/>
        </w:trPr>
        <w:tc>
          <w:tcPr>
            <w:tcW w:w="2303" w:type="dxa"/>
            <w:vMerge w:val="restart"/>
            <w:tcBorders>
              <w:top w:val="nil"/>
              <w:left w:val="single" w:color="auto" w:sz="4" w:space="0"/>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财务管理</w:t>
            </w:r>
          </w:p>
        </w:tc>
        <w:tc>
          <w:tcPr>
            <w:tcW w:w="2310"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管理费用</w:t>
            </w:r>
          </w:p>
        </w:tc>
        <w:tc>
          <w:tcPr>
            <w:tcW w:w="3683"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汇总</w:t>
            </w:r>
            <w:r>
              <w:rPr>
                <w:rFonts w:hint="eastAsia"/>
                <w:lang w:eastAsia="zh-CN"/>
              </w:rPr>
              <w:t>截至</w:t>
            </w:r>
            <w:r>
              <w:rPr>
                <w:rFonts w:hint="eastAsia"/>
              </w:rPr>
              <w:t>当前月份管理费用的年度累计值，并和去年同比；当前月份前一个月的管理费用，并和去年同比；联查子公司管理费用排名</w:t>
            </w:r>
          </w:p>
        </w:tc>
      </w:tr>
      <w:tr>
        <w:tblPrEx>
          <w:tblCellMar>
            <w:top w:w="0" w:type="dxa"/>
            <w:left w:w="108" w:type="dxa"/>
            <w:bottom w:w="0" w:type="dxa"/>
            <w:right w:w="108" w:type="dxa"/>
          </w:tblCellMar>
        </w:tblPrEx>
        <w:trPr>
          <w:trHeight w:val="454" w:hRule="atLeast"/>
        </w:trPr>
        <w:tc>
          <w:tcPr>
            <w:tcW w:w="2303" w:type="dxa"/>
            <w:vMerge w:val="continue"/>
            <w:tcBorders>
              <w:top w:val="nil"/>
              <w:left w:val="single" w:color="auto" w:sz="4" w:space="0"/>
              <w:bottom w:val="single" w:color="auto" w:sz="4" w:space="0"/>
              <w:right w:val="single" w:color="auto" w:sz="4" w:space="0"/>
            </w:tcBorders>
            <w:vAlign w:val="center"/>
          </w:tcPr>
          <w:p>
            <w:pPr>
              <w:kinsoku/>
              <w:wordWrap/>
              <w:topLinePunct w:val="0"/>
              <w:autoSpaceDE/>
              <w:autoSpaceDN/>
              <w:bidi w:val="0"/>
              <w:spacing w:line="560" w:lineRule="exact"/>
              <w:ind w:firstLine="0" w:firstLineChars="0"/>
              <w:jc w:val="center"/>
            </w:pPr>
          </w:p>
        </w:tc>
        <w:tc>
          <w:tcPr>
            <w:tcW w:w="2310"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工资</w:t>
            </w:r>
          </w:p>
        </w:tc>
        <w:tc>
          <w:tcPr>
            <w:tcW w:w="3683"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汇总</w:t>
            </w:r>
            <w:r>
              <w:rPr>
                <w:rFonts w:hint="eastAsia"/>
                <w:lang w:eastAsia="zh-CN"/>
              </w:rPr>
              <w:t>截至</w:t>
            </w:r>
            <w:r>
              <w:rPr>
                <w:rFonts w:hint="eastAsia"/>
              </w:rPr>
              <w:t>当前月份工资的年度累计值，并和去年同比；当前月份前一个月的工资，并和去年同比；联查子公司工资排名</w:t>
            </w:r>
          </w:p>
        </w:tc>
      </w:tr>
      <w:tr>
        <w:tblPrEx>
          <w:tblCellMar>
            <w:top w:w="0" w:type="dxa"/>
            <w:left w:w="108" w:type="dxa"/>
            <w:bottom w:w="0" w:type="dxa"/>
            <w:right w:w="108" w:type="dxa"/>
          </w:tblCellMar>
        </w:tblPrEx>
        <w:trPr>
          <w:trHeight w:val="454" w:hRule="atLeast"/>
        </w:trPr>
        <w:tc>
          <w:tcPr>
            <w:tcW w:w="2303" w:type="dxa"/>
            <w:vMerge w:val="continue"/>
            <w:tcBorders>
              <w:top w:val="nil"/>
              <w:left w:val="single" w:color="auto" w:sz="4" w:space="0"/>
              <w:bottom w:val="single" w:color="auto" w:sz="4" w:space="0"/>
              <w:right w:val="single" w:color="auto" w:sz="4" w:space="0"/>
            </w:tcBorders>
            <w:vAlign w:val="center"/>
          </w:tcPr>
          <w:p>
            <w:pPr>
              <w:kinsoku/>
              <w:wordWrap/>
              <w:topLinePunct w:val="0"/>
              <w:autoSpaceDE/>
              <w:autoSpaceDN/>
              <w:bidi w:val="0"/>
              <w:spacing w:line="560" w:lineRule="exact"/>
              <w:ind w:firstLine="0" w:firstLineChars="0"/>
              <w:jc w:val="center"/>
            </w:pPr>
          </w:p>
        </w:tc>
        <w:tc>
          <w:tcPr>
            <w:tcW w:w="2310"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投资构成收益</w:t>
            </w:r>
          </w:p>
        </w:tc>
        <w:tc>
          <w:tcPr>
            <w:tcW w:w="3683"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按照投资类别汇总当年的收益累计总和；联查到子公司的明细收益构成排名</w:t>
            </w:r>
          </w:p>
        </w:tc>
      </w:tr>
      <w:tr>
        <w:tblPrEx>
          <w:tblCellMar>
            <w:top w:w="0" w:type="dxa"/>
            <w:left w:w="108" w:type="dxa"/>
            <w:bottom w:w="0" w:type="dxa"/>
            <w:right w:w="108" w:type="dxa"/>
          </w:tblCellMar>
        </w:tblPrEx>
        <w:trPr>
          <w:trHeight w:val="454" w:hRule="atLeast"/>
        </w:trPr>
        <w:tc>
          <w:tcPr>
            <w:tcW w:w="2303" w:type="dxa"/>
            <w:vMerge w:val="continue"/>
            <w:tcBorders>
              <w:top w:val="nil"/>
              <w:left w:val="single" w:color="auto" w:sz="4" w:space="0"/>
              <w:bottom w:val="single" w:color="auto" w:sz="4" w:space="0"/>
              <w:right w:val="single" w:color="auto" w:sz="4" w:space="0"/>
            </w:tcBorders>
            <w:vAlign w:val="center"/>
          </w:tcPr>
          <w:p>
            <w:pPr>
              <w:kinsoku/>
              <w:wordWrap/>
              <w:topLinePunct w:val="0"/>
              <w:autoSpaceDE/>
              <w:autoSpaceDN/>
              <w:bidi w:val="0"/>
              <w:spacing w:line="560" w:lineRule="exact"/>
              <w:ind w:firstLine="0" w:firstLineChars="0"/>
              <w:jc w:val="center"/>
            </w:pPr>
          </w:p>
        </w:tc>
        <w:tc>
          <w:tcPr>
            <w:tcW w:w="2310"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投资金额分布情况</w:t>
            </w:r>
          </w:p>
        </w:tc>
        <w:tc>
          <w:tcPr>
            <w:tcW w:w="3683"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按照投资类别汇总当年的投资金额总和；联查到子公司的明细收益构成排名</w:t>
            </w:r>
          </w:p>
        </w:tc>
      </w:tr>
      <w:tr>
        <w:tblPrEx>
          <w:tblCellMar>
            <w:top w:w="0" w:type="dxa"/>
            <w:left w:w="108" w:type="dxa"/>
            <w:bottom w:w="0" w:type="dxa"/>
            <w:right w:w="108" w:type="dxa"/>
          </w:tblCellMar>
        </w:tblPrEx>
        <w:trPr>
          <w:trHeight w:val="454" w:hRule="atLeast"/>
        </w:trPr>
        <w:tc>
          <w:tcPr>
            <w:tcW w:w="2303" w:type="dxa"/>
            <w:vMerge w:val="continue"/>
            <w:tcBorders>
              <w:top w:val="nil"/>
              <w:left w:val="single" w:color="auto" w:sz="4" w:space="0"/>
              <w:bottom w:val="single" w:color="auto" w:sz="4" w:space="0"/>
              <w:right w:val="single" w:color="auto" w:sz="4" w:space="0"/>
            </w:tcBorders>
            <w:vAlign w:val="center"/>
          </w:tcPr>
          <w:p>
            <w:pPr>
              <w:kinsoku/>
              <w:wordWrap/>
              <w:topLinePunct w:val="0"/>
              <w:autoSpaceDE/>
              <w:autoSpaceDN/>
              <w:bidi w:val="0"/>
              <w:spacing w:line="560" w:lineRule="exact"/>
              <w:ind w:firstLine="0" w:firstLineChars="0"/>
              <w:jc w:val="center"/>
            </w:pPr>
          </w:p>
        </w:tc>
        <w:tc>
          <w:tcPr>
            <w:tcW w:w="2310"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现金流分析</w:t>
            </w:r>
          </w:p>
        </w:tc>
        <w:tc>
          <w:tcPr>
            <w:tcW w:w="3683"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按照三大类别（筹资、经营、投资）汇总当月现金流的流入和流出金额</w:t>
            </w:r>
          </w:p>
        </w:tc>
      </w:tr>
      <w:tr>
        <w:tblPrEx>
          <w:tblCellMar>
            <w:top w:w="0" w:type="dxa"/>
            <w:left w:w="108" w:type="dxa"/>
            <w:bottom w:w="0" w:type="dxa"/>
            <w:right w:w="108" w:type="dxa"/>
          </w:tblCellMar>
        </w:tblPrEx>
        <w:trPr>
          <w:trHeight w:val="454" w:hRule="atLeast"/>
        </w:trPr>
        <w:tc>
          <w:tcPr>
            <w:tcW w:w="2303" w:type="dxa"/>
            <w:vMerge w:val="continue"/>
            <w:tcBorders>
              <w:top w:val="nil"/>
              <w:left w:val="single" w:color="auto" w:sz="4" w:space="0"/>
              <w:bottom w:val="single" w:color="auto" w:sz="4" w:space="0"/>
              <w:right w:val="single" w:color="auto" w:sz="4" w:space="0"/>
            </w:tcBorders>
            <w:vAlign w:val="center"/>
          </w:tcPr>
          <w:p>
            <w:pPr>
              <w:kinsoku/>
              <w:wordWrap/>
              <w:topLinePunct w:val="0"/>
              <w:autoSpaceDE/>
              <w:autoSpaceDN/>
              <w:bidi w:val="0"/>
              <w:spacing w:line="560" w:lineRule="exact"/>
              <w:ind w:firstLine="0" w:firstLineChars="0"/>
              <w:jc w:val="center"/>
            </w:pPr>
          </w:p>
        </w:tc>
        <w:tc>
          <w:tcPr>
            <w:tcW w:w="2310"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现金流流入分析</w:t>
            </w:r>
          </w:p>
        </w:tc>
        <w:tc>
          <w:tcPr>
            <w:tcW w:w="3683"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按照三大类别（筹资、经营、投资）汇总当月现金流的流入金额</w:t>
            </w:r>
          </w:p>
        </w:tc>
      </w:tr>
      <w:tr>
        <w:tblPrEx>
          <w:tblCellMar>
            <w:top w:w="0" w:type="dxa"/>
            <w:left w:w="108" w:type="dxa"/>
            <w:bottom w:w="0" w:type="dxa"/>
            <w:right w:w="108" w:type="dxa"/>
          </w:tblCellMar>
        </w:tblPrEx>
        <w:trPr>
          <w:trHeight w:val="454" w:hRule="atLeast"/>
        </w:trPr>
        <w:tc>
          <w:tcPr>
            <w:tcW w:w="2303" w:type="dxa"/>
            <w:vMerge w:val="continue"/>
            <w:tcBorders>
              <w:top w:val="nil"/>
              <w:left w:val="single" w:color="auto" w:sz="4" w:space="0"/>
              <w:bottom w:val="single" w:color="auto" w:sz="4" w:space="0"/>
              <w:right w:val="single" w:color="auto" w:sz="4" w:space="0"/>
            </w:tcBorders>
            <w:vAlign w:val="center"/>
          </w:tcPr>
          <w:p>
            <w:pPr>
              <w:kinsoku/>
              <w:wordWrap/>
              <w:topLinePunct w:val="0"/>
              <w:autoSpaceDE/>
              <w:autoSpaceDN/>
              <w:bidi w:val="0"/>
              <w:spacing w:line="560" w:lineRule="exact"/>
              <w:ind w:firstLine="0" w:firstLineChars="0"/>
              <w:jc w:val="center"/>
            </w:pPr>
          </w:p>
        </w:tc>
        <w:tc>
          <w:tcPr>
            <w:tcW w:w="2310"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现金流流出分析</w:t>
            </w:r>
          </w:p>
        </w:tc>
        <w:tc>
          <w:tcPr>
            <w:tcW w:w="3683"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按照三大类别（筹资、经营、投资）汇总当月现金流的流出金额</w:t>
            </w:r>
          </w:p>
        </w:tc>
      </w:tr>
      <w:tr>
        <w:tblPrEx>
          <w:tblCellMar>
            <w:top w:w="0" w:type="dxa"/>
            <w:left w:w="108" w:type="dxa"/>
            <w:bottom w:w="0" w:type="dxa"/>
            <w:right w:w="108" w:type="dxa"/>
          </w:tblCellMar>
        </w:tblPrEx>
        <w:trPr>
          <w:trHeight w:val="454" w:hRule="atLeast"/>
        </w:trPr>
        <w:tc>
          <w:tcPr>
            <w:tcW w:w="2303" w:type="dxa"/>
            <w:vMerge w:val="continue"/>
            <w:tcBorders>
              <w:top w:val="nil"/>
              <w:left w:val="single" w:color="auto" w:sz="4" w:space="0"/>
              <w:bottom w:val="single" w:color="auto" w:sz="4" w:space="0"/>
              <w:right w:val="single" w:color="auto" w:sz="4" w:space="0"/>
            </w:tcBorders>
            <w:vAlign w:val="center"/>
          </w:tcPr>
          <w:p>
            <w:pPr>
              <w:kinsoku/>
              <w:wordWrap/>
              <w:topLinePunct w:val="0"/>
              <w:autoSpaceDE/>
              <w:autoSpaceDN/>
              <w:bidi w:val="0"/>
              <w:spacing w:line="560" w:lineRule="exact"/>
              <w:ind w:firstLine="0" w:firstLineChars="0"/>
              <w:jc w:val="center"/>
            </w:pPr>
          </w:p>
        </w:tc>
        <w:tc>
          <w:tcPr>
            <w:tcW w:w="2310"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净资产</w:t>
            </w:r>
          </w:p>
        </w:tc>
        <w:tc>
          <w:tcPr>
            <w:tcW w:w="3683"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公司净资产</w:t>
            </w:r>
          </w:p>
        </w:tc>
      </w:tr>
      <w:tr>
        <w:tblPrEx>
          <w:tblCellMar>
            <w:top w:w="0" w:type="dxa"/>
            <w:left w:w="108" w:type="dxa"/>
            <w:bottom w:w="0" w:type="dxa"/>
            <w:right w:w="108" w:type="dxa"/>
          </w:tblCellMar>
        </w:tblPrEx>
        <w:trPr>
          <w:trHeight w:val="454" w:hRule="atLeast"/>
        </w:trPr>
        <w:tc>
          <w:tcPr>
            <w:tcW w:w="2303" w:type="dxa"/>
            <w:vMerge w:val="continue"/>
            <w:tcBorders>
              <w:top w:val="nil"/>
              <w:left w:val="single" w:color="auto" w:sz="4" w:space="0"/>
              <w:bottom w:val="single" w:color="auto" w:sz="4" w:space="0"/>
              <w:right w:val="single" w:color="auto" w:sz="4" w:space="0"/>
            </w:tcBorders>
            <w:vAlign w:val="center"/>
          </w:tcPr>
          <w:p>
            <w:pPr>
              <w:kinsoku/>
              <w:wordWrap/>
              <w:topLinePunct w:val="0"/>
              <w:autoSpaceDE/>
              <w:autoSpaceDN/>
              <w:bidi w:val="0"/>
              <w:spacing w:line="560" w:lineRule="exact"/>
              <w:ind w:firstLine="0" w:firstLineChars="0"/>
              <w:jc w:val="center"/>
            </w:pPr>
          </w:p>
        </w:tc>
        <w:tc>
          <w:tcPr>
            <w:tcW w:w="2310"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总负债</w:t>
            </w:r>
          </w:p>
        </w:tc>
        <w:tc>
          <w:tcPr>
            <w:tcW w:w="3683"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公司总负债</w:t>
            </w:r>
          </w:p>
        </w:tc>
      </w:tr>
      <w:tr>
        <w:tblPrEx>
          <w:tblCellMar>
            <w:top w:w="0" w:type="dxa"/>
            <w:left w:w="108" w:type="dxa"/>
            <w:bottom w:w="0" w:type="dxa"/>
            <w:right w:w="108" w:type="dxa"/>
          </w:tblCellMar>
        </w:tblPrEx>
        <w:trPr>
          <w:trHeight w:val="454" w:hRule="atLeast"/>
        </w:trPr>
        <w:tc>
          <w:tcPr>
            <w:tcW w:w="2303" w:type="dxa"/>
            <w:vMerge w:val="continue"/>
            <w:tcBorders>
              <w:top w:val="nil"/>
              <w:left w:val="single" w:color="auto" w:sz="4" w:space="0"/>
              <w:bottom w:val="single" w:color="auto" w:sz="4" w:space="0"/>
              <w:right w:val="single" w:color="auto" w:sz="4" w:space="0"/>
            </w:tcBorders>
            <w:vAlign w:val="center"/>
          </w:tcPr>
          <w:p>
            <w:pPr>
              <w:kinsoku/>
              <w:wordWrap/>
              <w:topLinePunct w:val="0"/>
              <w:autoSpaceDE/>
              <w:autoSpaceDN/>
              <w:bidi w:val="0"/>
              <w:spacing w:line="560" w:lineRule="exact"/>
              <w:ind w:firstLine="0" w:firstLineChars="0"/>
              <w:jc w:val="center"/>
            </w:pPr>
          </w:p>
        </w:tc>
        <w:tc>
          <w:tcPr>
            <w:tcW w:w="2310"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收入分析</w:t>
            </w:r>
          </w:p>
        </w:tc>
        <w:tc>
          <w:tcPr>
            <w:tcW w:w="3683"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按照三大类别（土地、投资、资产）和12个月份分别统计总收入；联查子公司某月份按收入金额的排名</w:t>
            </w:r>
          </w:p>
        </w:tc>
      </w:tr>
      <w:tr>
        <w:tblPrEx>
          <w:tblCellMar>
            <w:top w:w="0" w:type="dxa"/>
            <w:left w:w="108" w:type="dxa"/>
            <w:bottom w:w="0" w:type="dxa"/>
            <w:right w:w="108" w:type="dxa"/>
          </w:tblCellMar>
        </w:tblPrEx>
        <w:trPr>
          <w:trHeight w:val="454" w:hRule="atLeast"/>
        </w:trPr>
        <w:tc>
          <w:tcPr>
            <w:tcW w:w="2303" w:type="dxa"/>
            <w:vMerge w:val="continue"/>
            <w:tcBorders>
              <w:top w:val="nil"/>
              <w:left w:val="single" w:color="auto" w:sz="4" w:space="0"/>
              <w:bottom w:val="single" w:color="auto" w:sz="4" w:space="0"/>
              <w:right w:val="single" w:color="auto" w:sz="4" w:space="0"/>
            </w:tcBorders>
            <w:vAlign w:val="center"/>
          </w:tcPr>
          <w:p>
            <w:pPr>
              <w:kinsoku/>
              <w:wordWrap/>
              <w:topLinePunct w:val="0"/>
              <w:autoSpaceDE/>
              <w:autoSpaceDN/>
              <w:bidi w:val="0"/>
              <w:spacing w:line="560" w:lineRule="exact"/>
              <w:ind w:firstLine="0" w:firstLineChars="0"/>
              <w:jc w:val="center"/>
            </w:pPr>
          </w:p>
        </w:tc>
        <w:tc>
          <w:tcPr>
            <w:tcW w:w="2310"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利润分析</w:t>
            </w:r>
          </w:p>
        </w:tc>
        <w:tc>
          <w:tcPr>
            <w:tcW w:w="3683"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按照三大类别（土地、投资、资产）和12个月份分别统计总利润；联查子公司某月份按利润金额的排名</w:t>
            </w:r>
          </w:p>
        </w:tc>
      </w:tr>
      <w:tr>
        <w:tblPrEx>
          <w:tblCellMar>
            <w:top w:w="0" w:type="dxa"/>
            <w:left w:w="108" w:type="dxa"/>
            <w:bottom w:w="0" w:type="dxa"/>
            <w:right w:w="108" w:type="dxa"/>
          </w:tblCellMar>
        </w:tblPrEx>
        <w:trPr>
          <w:trHeight w:val="454" w:hRule="atLeast"/>
        </w:trPr>
        <w:tc>
          <w:tcPr>
            <w:tcW w:w="2303" w:type="dxa"/>
            <w:vMerge w:val="continue"/>
            <w:tcBorders>
              <w:top w:val="nil"/>
              <w:left w:val="single" w:color="auto" w:sz="4" w:space="0"/>
              <w:bottom w:val="single" w:color="auto" w:sz="4" w:space="0"/>
              <w:right w:val="single" w:color="auto" w:sz="4" w:space="0"/>
            </w:tcBorders>
            <w:vAlign w:val="center"/>
          </w:tcPr>
          <w:p>
            <w:pPr>
              <w:kinsoku/>
              <w:wordWrap/>
              <w:topLinePunct w:val="0"/>
              <w:autoSpaceDE/>
              <w:autoSpaceDN/>
              <w:bidi w:val="0"/>
              <w:spacing w:line="560" w:lineRule="exact"/>
              <w:ind w:firstLine="0" w:firstLineChars="0"/>
              <w:jc w:val="center"/>
            </w:pPr>
          </w:p>
        </w:tc>
        <w:tc>
          <w:tcPr>
            <w:tcW w:w="2310"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分红率分析</w:t>
            </w:r>
          </w:p>
        </w:tc>
        <w:tc>
          <w:tcPr>
            <w:tcW w:w="3683"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分析被投企业的投资额和分红率，按分红率降序排列，前五名红色显示，低于分红率标准的绿色显示</w:t>
            </w:r>
          </w:p>
        </w:tc>
      </w:tr>
      <w:tr>
        <w:tblPrEx>
          <w:tblCellMar>
            <w:top w:w="0" w:type="dxa"/>
            <w:left w:w="108" w:type="dxa"/>
            <w:bottom w:w="0" w:type="dxa"/>
            <w:right w:w="108" w:type="dxa"/>
          </w:tblCellMar>
        </w:tblPrEx>
        <w:trPr>
          <w:trHeight w:val="454" w:hRule="atLeast"/>
        </w:trPr>
        <w:tc>
          <w:tcPr>
            <w:tcW w:w="2303" w:type="dxa"/>
            <w:vMerge w:val="restart"/>
            <w:tcBorders>
              <w:top w:val="nil"/>
              <w:left w:val="single" w:color="auto" w:sz="4" w:space="0"/>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人力投资</w:t>
            </w:r>
          </w:p>
        </w:tc>
        <w:tc>
          <w:tcPr>
            <w:tcW w:w="2310"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学历结构</w:t>
            </w:r>
          </w:p>
        </w:tc>
        <w:tc>
          <w:tcPr>
            <w:tcW w:w="3683"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员工学历分布情况；可以对对应学历范围内员工详细信息进行查看；对员工详细个人信息进行查看</w:t>
            </w:r>
          </w:p>
        </w:tc>
      </w:tr>
      <w:tr>
        <w:tblPrEx>
          <w:tblCellMar>
            <w:top w:w="0" w:type="dxa"/>
            <w:left w:w="108" w:type="dxa"/>
            <w:bottom w:w="0" w:type="dxa"/>
            <w:right w:w="108" w:type="dxa"/>
          </w:tblCellMar>
        </w:tblPrEx>
        <w:trPr>
          <w:trHeight w:val="454" w:hRule="atLeast"/>
        </w:trPr>
        <w:tc>
          <w:tcPr>
            <w:tcW w:w="2303" w:type="dxa"/>
            <w:vMerge w:val="continue"/>
            <w:tcBorders>
              <w:top w:val="nil"/>
              <w:left w:val="single" w:color="auto" w:sz="4" w:space="0"/>
              <w:bottom w:val="single" w:color="auto" w:sz="4" w:space="0"/>
              <w:right w:val="single" w:color="auto" w:sz="4" w:space="0"/>
            </w:tcBorders>
            <w:vAlign w:val="center"/>
          </w:tcPr>
          <w:p>
            <w:pPr>
              <w:kinsoku/>
              <w:wordWrap/>
              <w:topLinePunct w:val="0"/>
              <w:autoSpaceDE/>
              <w:autoSpaceDN/>
              <w:bidi w:val="0"/>
              <w:spacing w:line="560" w:lineRule="exact"/>
              <w:ind w:firstLine="0" w:firstLineChars="0"/>
              <w:jc w:val="center"/>
            </w:pPr>
          </w:p>
        </w:tc>
        <w:tc>
          <w:tcPr>
            <w:tcW w:w="2310"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职务结构</w:t>
            </w:r>
          </w:p>
        </w:tc>
        <w:tc>
          <w:tcPr>
            <w:tcW w:w="3683"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员工职务分布情况；可以对对应职务范围内员工详细信息进行查看；对员工详细个人信息进行查看</w:t>
            </w:r>
          </w:p>
        </w:tc>
      </w:tr>
      <w:tr>
        <w:tblPrEx>
          <w:tblCellMar>
            <w:top w:w="0" w:type="dxa"/>
            <w:left w:w="108" w:type="dxa"/>
            <w:bottom w:w="0" w:type="dxa"/>
            <w:right w:w="108" w:type="dxa"/>
          </w:tblCellMar>
        </w:tblPrEx>
        <w:trPr>
          <w:trHeight w:val="454" w:hRule="atLeast"/>
        </w:trPr>
        <w:tc>
          <w:tcPr>
            <w:tcW w:w="2303" w:type="dxa"/>
            <w:vMerge w:val="continue"/>
            <w:tcBorders>
              <w:top w:val="nil"/>
              <w:left w:val="single" w:color="auto" w:sz="4" w:space="0"/>
              <w:bottom w:val="single" w:color="auto" w:sz="4" w:space="0"/>
              <w:right w:val="single" w:color="auto" w:sz="4" w:space="0"/>
            </w:tcBorders>
            <w:vAlign w:val="center"/>
          </w:tcPr>
          <w:p>
            <w:pPr>
              <w:kinsoku/>
              <w:wordWrap/>
              <w:topLinePunct w:val="0"/>
              <w:autoSpaceDE/>
              <w:autoSpaceDN/>
              <w:bidi w:val="0"/>
              <w:spacing w:line="560" w:lineRule="exact"/>
              <w:ind w:firstLine="0" w:firstLineChars="0"/>
              <w:jc w:val="center"/>
            </w:pPr>
          </w:p>
        </w:tc>
        <w:tc>
          <w:tcPr>
            <w:tcW w:w="2310"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年龄结构</w:t>
            </w:r>
          </w:p>
        </w:tc>
        <w:tc>
          <w:tcPr>
            <w:tcW w:w="3683"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员工年龄分布情况；可以对对应年龄范围内员工详细信息进行查看；对员工详细个人信息进行查看</w:t>
            </w:r>
          </w:p>
        </w:tc>
      </w:tr>
      <w:tr>
        <w:tblPrEx>
          <w:tblCellMar>
            <w:top w:w="0" w:type="dxa"/>
            <w:left w:w="108" w:type="dxa"/>
            <w:bottom w:w="0" w:type="dxa"/>
            <w:right w:w="108" w:type="dxa"/>
          </w:tblCellMar>
        </w:tblPrEx>
        <w:trPr>
          <w:trHeight w:val="454" w:hRule="atLeast"/>
        </w:trPr>
        <w:tc>
          <w:tcPr>
            <w:tcW w:w="2303" w:type="dxa"/>
            <w:vMerge w:val="continue"/>
            <w:tcBorders>
              <w:top w:val="nil"/>
              <w:left w:val="single" w:color="auto" w:sz="4" w:space="0"/>
              <w:bottom w:val="single" w:color="auto" w:sz="4" w:space="0"/>
              <w:right w:val="single" w:color="auto" w:sz="4" w:space="0"/>
            </w:tcBorders>
            <w:vAlign w:val="center"/>
          </w:tcPr>
          <w:p>
            <w:pPr>
              <w:kinsoku/>
              <w:wordWrap/>
              <w:topLinePunct w:val="0"/>
              <w:autoSpaceDE/>
              <w:autoSpaceDN/>
              <w:bidi w:val="0"/>
              <w:spacing w:line="560" w:lineRule="exact"/>
              <w:ind w:firstLine="0" w:firstLineChars="0"/>
              <w:jc w:val="center"/>
            </w:pPr>
          </w:p>
        </w:tc>
        <w:tc>
          <w:tcPr>
            <w:tcW w:w="2310"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lang w:eastAsia="zh-CN"/>
              </w:rPr>
              <w:t>司龄</w:t>
            </w:r>
            <w:r>
              <w:rPr>
                <w:rFonts w:hint="eastAsia"/>
              </w:rPr>
              <w:t>结构</w:t>
            </w:r>
          </w:p>
        </w:tc>
        <w:tc>
          <w:tcPr>
            <w:tcW w:w="3683"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员工司龄分布情况；可以对对应司龄范围内员工详细信息进行查看；对员工详细个人信息进行查看</w:t>
            </w:r>
          </w:p>
        </w:tc>
      </w:tr>
      <w:tr>
        <w:tblPrEx>
          <w:tblCellMar>
            <w:top w:w="0" w:type="dxa"/>
            <w:left w:w="108" w:type="dxa"/>
            <w:bottom w:w="0" w:type="dxa"/>
            <w:right w:w="108" w:type="dxa"/>
          </w:tblCellMar>
        </w:tblPrEx>
        <w:trPr>
          <w:trHeight w:val="454" w:hRule="atLeast"/>
        </w:trPr>
        <w:tc>
          <w:tcPr>
            <w:tcW w:w="2303" w:type="dxa"/>
            <w:vMerge w:val="continue"/>
            <w:tcBorders>
              <w:top w:val="nil"/>
              <w:left w:val="single" w:color="auto" w:sz="4" w:space="0"/>
              <w:bottom w:val="single" w:color="auto" w:sz="4" w:space="0"/>
              <w:right w:val="single" w:color="auto" w:sz="4" w:space="0"/>
            </w:tcBorders>
            <w:vAlign w:val="center"/>
          </w:tcPr>
          <w:p>
            <w:pPr>
              <w:kinsoku/>
              <w:wordWrap/>
              <w:topLinePunct w:val="0"/>
              <w:autoSpaceDE/>
              <w:autoSpaceDN/>
              <w:bidi w:val="0"/>
              <w:spacing w:line="560" w:lineRule="exact"/>
              <w:ind w:firstLine="0" w:firstLineChars="0"/>
              <w:jc w:val="center"/>
            </w:pPr>
          </w:p>
        </w:tc>
        <w:tc>
          <w:tcPr>
            <w:tcW w:w="2310"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组织结构</w:t>
            </w:r>
          </w:p>
        </w:tc>
        <w:tc>
          <w:tcPr>
            <w:tcW w:w="3683"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集团下属各</w:t>
            </w:r>
            <w:r>
              <w:rPr>
                <w:rFonts w:hint="eastAsia"/>
                <w:lang w:eastAsia="zh-CN"/>
              </w:rPr>
              <w:t>板块</w:t>
            </w:r>
            <w:r>
              <w:rPr>
                <w:rFonts w:hint="eastAsia"/>
              </w:rPr>
              <w:t>到子公司的人员分布情况；输入某个具体员工名字点搜索按钮，对该员工详细信息查看</w:t>
            </w:r>
          </w:p>
        </w:tc>
      </w:tr>
      <w:tr>
        <w:tblPrEx>
          <w:tblCellMar>
            <w:top w:w="0" w:type="dxa"/>
            <w:left w:w="108" w:type="dxa"/>
            <w:bottom w:w="0" w:type="dxa"/>
            <w:right w:w="108" w:type="dxa"/>
          </w:tblCellMar>
        </w:tblPrEx>
        <w:trPr>
          <w:trHeight w:val="454" w:hRule="atLeast"/>
        </w:trPr>
        <w:tc>
          <w:tcPr>
            <w:tcW w:w="2303" w:type="dxa"/>
            <w:vMerge w:val="continue"/>
            <w:tcBorders>
              <w:top w:val="nil"/>
              <w:left w:val="single" w:color="auto" w:sz="4" w:space="0"/>
              <w:bottom w:val="single" w:color="auto" w:sz="4" w:space="0"/>
              <w:right w:val="single" w:color="auto" w:sz="4" w:space="0"/>
            </w:tcBorders>
            <w:vAlign w:val="center"/>
          </w:tcPr>
          <w:p>
            <w:pPr>
              <w:kinsoku/>
              <w:wordWrap/>
              <w:topLinePunct w:val="0"/>
              <w:autoSpaceDE/>
              <w:autoSpaceDN/>
              <w:bidi w:val="0"/>
              <w:spacing w:line="560" w:lineRule="exact"/>
              <w:ind w:firstLine="0" w:firstLineChars="0"/>
              <w:jc w:val="center"/>
            </w:pPr>
          </w:p>
        </w:tc>
        <w:tc>
          <w:tcPr>
            <w:tcW w:w="2310"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重要干部任免</w:t>
            </w:r>
          </w:p>
        </w:tc>
        <w:tc>
          <w:tcPr>
            <w:tcW w:w="3683"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选择对应党委会，可以查看重要 干部任免情况；可查看其基本信息、学历学位、任免审批信息</w:t>
            </w:r>
          </w:p>
        </w:tc>
      </w:tr>
      <w:tr>
        <w:tblPrEx>
          <w:tblCellMar>
            <w:top w:w="0" w:type="dxa"/>
            <w:left w:w="108" w:type="dxa"/>
            <w:bottom w:w="0" w:type="dxa"/>
            <w:right w:w="108" w:type="dxa"/>
          </w:tblCellMar>
        </w:tblPrEx>
        <w:trPr>
          <w:trHeight w:val="454" w:hRule="atLeast"/>
        </w:trPr>
        <w:tc>
          <w:tcPr>
            <w:tcW w:w="2303" w:type="dxa"/>
            <w:vMerge w:val="continue"/>
            <w:tcBorders>
              <w:top w:val="nil"/>
              <w:left w:val="single" w:color="auto" w:sz="4" w:space="0"/>
              <w:bottom w:val="single" w:color="auto" w:sz="4" w:space="0"/>
              <w:right w:val="single" w:color="auto" w:sz="4" w:space="0"/>
            </w:tcBorders>
            <w:vAlign w:val="center"/>
          </w:tcPr>
          <w:p>
            <w:pPr>
              <w:kinsoku/>
              <w:wordWrap/>
              <w:topLinePunct w:val="0"/>
              <w:autoSpaceDE/>
              <w:autoSpaceDN/>
              <w:bidi w:val="0"/>
              <w:spacing w:line="560" w:lineRule="exact"/>
              <w:ind w:firstLine="0" w:firstLineChars="0"/>
              <w:jc w:val="center"/>
            </w:pPr>
          </w:p>
        </w:tc>
        <w:tc>
          <w:tcPr>
            <w:tcW w:w="2310"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委派人员</w:t>
            </w:r>
          </w:p>
        </w:tc>
        <w:tc>
          <w:tcPr>
            <w:tcW w:w="3683"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出资企业委派人员分布情况；查看明细</w:t>
            </w:r>
          </w:p>
        </w:tc>
      </w:tr>
      <w:tr>
        <w:tblPrEx>
          <w:tblCellMar>
            <w:top w:w="0" w:type="dxa"/>
            <w:left w:w="108" w:type="dxa"/>
            <w:bottom w:w="0" w:type="dxa"/>
            <w:right w:w="108" w:type="dxa"/>
          </w:tblCellMar>
        </w:tblPrEx>
        <w:trPr>
          <w:trHeight w:val="454" w:hRule="atLeast"/>
        </w:trPr>
        <w:tc>
          <w:tcPr>
            <w:tcW w:w="2303" w:type="dxa"/>
            <w:vMerge w:val="continue"/>
            <w:tcBorders>
              <w:top w:val="nil"/>
              <w:left w:val="single" w:color="auto" w:sz="4" w:space="0"/>
              <w:bottom w:val="single" w:color="auto" w:sz="4" w:space="0"/>
              <w:right w:val="single" w:color="auto" w:sz="4" w:space="0"/>
            </w:tcBorders>
            <w:vAlign w:val="center"/>
          </w:tcPr>
          <w:p>
            <w:pPr>
              <w:kinsoku/>
              <w:wordWrap/>
              <w:topLinePunct w:val="0"/>
              <w:autoSpaceDE/>
              <w:autoSpaceDN/>
              <w:bidi w:val="0"/>
              <w:spacing w:line="560" w:lineRule="exact"/>
              <w:ind w:firstLine="0" w:firstLineChars="0"/>
              <w:jc w:val="center"/>
            </w:pPr>
          </w:p>
        </w:tc>
        <w:tc>
          <w:tcPr>
            <w:tcW w:w="2310"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绩效等级</w:t>
            </w:r>
          </w:p>
        </w:tc>
        <w:tc>
          <w:tcPr>
            <w:tcW w:w="3683"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上年度集团员工的绩效考核等级分布；查看在某一个等级下各个组织板块占比情况；可以查看在此条件下具体员工信息</w:t>
            </w:r>
          </w:p>
        </w:tc>
      </w:tr>
      <w:tr>
        <w:tblPrEx>
          <w:tblCellMar>
            <w:top w:w="0" w:type="dxa"/>
            <w:left w:w="108" w:type="dxa"/>
            <w:bottom w:w="0" w:type="dxa"/>
            <w:right w:w="108" w:type="dxa"/>
          </w:tblCellMar>
        </w:tblPrEx>
        <w:trPr>
          <w:trHeight w:val="454" w:hRule="atLeast"/>
        </w:trPr>
        <w:tc>
          <w:tcPr>
            <w:tcW w:w="2303" w:type="dxa"/>
            <w:vMerge w:val="continue"/>
            <w:tcBorders>
              <w:top w:val="nil"/>
              <w:left w:val="single" w:color="auto" w:sz="4" w:space="0"/>
              <w:bottom w:val="single" w:color="auto" w:sz="4" w:space="0"/>
              <w:right w:val="single" w:color="auto" w:sz="4" w:space="0"/>
            </w:tcBorders>
            <w:vAlign w:val="center"/>
          </w:tcPr>
          <w:p>
            <w:pPr>
              <w:kinsoku/>
              <w:wordWrap/>
              <w:topLinePunct w:val="0"/>
              <w:autoSpaceDE/>
              <w:autoSpaceDN/>
              <w:bidi w:val="0"/>
              <w:spacing w:line="560" w:lineRule="exact"/>
              <w:ind w:firstLine="0" w:firstLineChars="0"/>
              <w:jc w:val="center"/>
            </w:pPr>
          </w:p>
        </w:tc>
        <w:tc>
          <w:tcPr>
            <w:tcW w:w="2310"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薪酬区间</w:t>
            </w:r>
          </w:p>
        </w:tc>
        <w:tc>
          <w:tcPr>
            <w:tcW w:w="3683"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上年度集团员工的绩效考核等级分布；查看在某一个等级下各个组织板块占比情况；可以查看在此条件下具体员工信息</w:t>
            </w:r>
          </w:p>
        </w:tc>
      </w:tr>
      <w:tr>
        <w:tblPrEx>
          <w:tblCellMar>
            <w:top w:w="0" w:type="dxa"/>
            <w:left w:w="108" w:type="dxa"/>
            <w:bottom w:w="0" w:type="dxa"/>
            <w:right w:w="108" w:type="dxa"/>
          </w:tblCellMar>
        </w:tblPrEx>
        <w:trPr>
          <w:trHeight w:val="454" w:hRule="atLeast"/>
        </w:trPr>
        <w:tc>
          <w:tcPr>
            <w:tcW w:w="2303" w:type="dxa"/>
            <w:vMerge w:val="continue"/>
            <w:tcBorders>
              <w:top w:val="nil"/>
              <w:left w:val="single" w:color="auto" w:sz="4" w:space="0"/>
              <w:bottom w:val="single" w:color="auto" w:sz="4" w:space="0"/>
              <w:right w:val="single" w:color="auto" w:sz="4" w:space="0"/>
            </w:tcBorders>
            <w:vAlign w:val="center"/>
          </w:tcPr>
          <w:p>
            <w:pPr>
              <w:kinsoku/>
              <w:wordWrap/>
              <w:topLinePunct w:val="0"/>
              <w:autoSpaceDE/>
              <w:autoSpaceDN/>
              <w:bidi w:val="0"/>
              <w:spacing w:line="560" w:lineRule="exact"/>
              <w:ind w:firstLine="0" w:firstLineChars="0"/>
              <w:jc w:val="center"/>
            </w:pPr>
          </w:p>
        </w:tc>
        <w:tc>
          <w:tcPr>
            <w:tcW w:w="2310"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薪酬总额</w:t>
            </w:r>
          </w:p>
        </w:tc>
        <w:tc>
          <w:tcPr>
            <w:tcW w:w="3683"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上年度集团员工的绩效考核等级分布；查看在某一个等级下各个组织板块占比情况；可以查看在此条件下具体员工信息</w:t>
            </w:r>
          </w:p>
        </w:tc>
      </w:tr>
      <w:tr>
        <w:tblPrEx>
          <w:tblCellMar>
            <w:top w:w="0" w:type="dxa"/>
            <w:left w:w="108" w:type="dxa"/>
            <w:bottom w:w="0" w:type="dxa"/>
            <w:right w:w="108" w:type="dxa"/>
          </w:tblCellMar>
        </w:tblPrEx>
        <w:trPr>
          <w:trHeight w:val="454" w:hRule="atLeast"/>
        </w:trPr>
        <w:tc>
          <w:tcPr>
            <w:tcW w:w="2303" w:type="dxa"/>
            <w:vMerge w:val="continue"/>
            <w:tcBorders>
              <w:top w:val="nil"/>
              <w:left w:val="single" w:color="auto" w:sz="4" w:space="0"/>
              <w:bottom w:val="single" w:color="auto" w:sz="4" w:space="0"/>
              <w:right w:val="single" w:color="auto" w:sz="4" w:space="0"/>
            </w:tcBorders>
            <w:vAlign w:val="center"/>
          </w:tcPr>
          <w:p>
            <w:pPr>
              <w:kinsoku/>
              <w:wordWrap/>
              <w:topLinePunct w:val="0"/>
              <w:autoSpaceDE/>
              <w:autoSpaceDN/>
              <w:bidi w:val="0"/>
              <w:spacing w:line="560" w:lineRule="exact"/>
              <w:ind w:firstLine="0" w:firstLineChars="0"/>
              <w:jc w:val="center"/>
            </w:pPr>
          </w:p>
        </w:tc>
        <w:tc>
          <w:tcPr>
            <w:tcW w:w="2310"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板块薪酬</w:t>
            </w:r>
          </w:p>
        </w:tc>
        <w:tc>
          <w:tcPr>
            <w:tcW w:w="3683"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可以查看各组织板块固定工资总额、绩效工资总额、平均工资进行对比；可查看明细</w:t>
            </w:r>
          </w:p>
        </w:tc>
      </w:tr>
      <w:tr>
        <w:tblPrEx>
          <w:tblCellMar>
            <w:top w:w="0" w:type="dxa"/>
            <w:left w:w="108" w:type="dxa"/>
            <w:bottom w:w="0" w:type="dxa"/>
            <w:right w:w="108" w:type="dxa"/>
          </w:tblCellMar>
        </w:tblPrEx>
        <w:trPr>
          <w:trHeight w:val="454" w:hRule="atLeast"/>
        </w:trPr>
        <w:tc>
          <w:tcPr>
            <w:tcW w:w="2303" w:type="dxa"/>
            <w:vMerge w:val="continue"/>
            <w:tcBorders>
              <w:top w:val="nil"/>
              <w:left w:val="single" w:color="auto" w:sz="4" w:space="0"/>
              <w:bottom w:val="single" w:color="auto" w:sz="4" w:space="0"/>
              <w:right w:val="single" w:color="auto" w:sz="4" w:space="0"/>
            </w:tcBorders>
            <w:vAlign w:val="center"/>
          </w:tcPr>
          <w:p>
            <w:pPr>
              <w:kinsoku/>
              <w:wordWrap/>
              <w:topLinePunct w:val="0"/>
              <w:autoSpaceDE/>
              <w:autoSpaceDN/>
              <w:bidi w:val="0"/>
              <w:spacing w:line="560" w:lineRule="exact"/>
              <w:ind w:firstLine="0" w:firstLineChars="0"/>
              <w:jc w:val="center"/>
            </w:pPr>
          </w:p>
        </w:tc>
        <w:tc>
          <w:tcPr>
            <w:tcW w:w="2310"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单位薪酬总额</w:t>
            </w:r>
          </w:p>
        </w:tc>
        <w:tc>
          <w:tcPr>
            <w:tcW w:w="3683"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可以查看各公司固定工资总额、绩效工资总额、平均工资进行对比；可查看明细</w:t>
            </w:r>
          </w:p>
        </w:tc>
      </w:tr>
      <w:tr>
        <w:tblPrEx>
          <w:tblCellMar>
            <w:top w:w="0" w:type="dxa"/>
            <w:left w:w="108" w:type="dxa"/>
            <w:bottom w:w="0" w:type="dxa"/>
            <w:right w:w="108" w:type="dxa"/>
          </w:tblCellMar>
        </w:tblPrEx>
        <w:trPr>
          <w:trHeight w:val="454" w:hRule="atLeast"/>
        </w:trPr>
        <w:tc>
          <w:tcPr>
            <w:tcW w:w="2303" w:type="dxa"/>
            <w:vMerge w:val="continue"/>
            <w:tcBorders>
              <w:top w:val="nil"/>
              <w:left w:val="single" w:color="auto" w:sz="4" w:space="0"/>
              <w:bottom w:val="single" w:color="auto" w:sz="4" w:space="0"/>
              <w:right w:val="single" w:color="auto" w:sz="4" w:space="0"/>
            </w:tcBorders>
            <w:vAlign w:val="center"/>
          </w:tcPr>
          <w:p>
            <w:pPr>
              <w:kinsoku/>
              <w:wordWrap/>
              <w:topLinePunct w:val="0"/>
              <w:autoSpaceDE/>
              <w:autoSpaceDN/>
              <w:bidi w:val="0"/>
              <w:spacing w:line="560" w:lineRule="exact"/>
              <w:ind w:firstLine="0" w:firstLineChars="0"/>
              <w:jc w:val="center"/>
            </w:pPr>
          </w:p>
        </w:tc>
        <w:tc>
          <w:tcPr>
            <w:tcW w:w="2310"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人员薪酬占比</w:t>
            </w:r>
          </w:p>
        </w:tc>
        <w:tc>
          <w:tcPr>
            <w:tcW w:w="3683"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可以查看在管理序列、业务序列、运营支撑序列、职能序列四个维度对员工工资薪酬进行分析；可查看明细</w:t>
            </w:r>
          </w:p>
        </w:tc>
      </w:tr>
      <w:tr>
        <w:tblPrEx>
          <w:tblCellMar>
            <w:top w:w="0" w:type="dxa"/>
            <w:left w:w="108" w:type="dxa"/>
            <w:bottom w:w="0" w:type="dxa"/>
            <w:right w:w="108" w:type="dxa"/>
          </w:tblCellMar>
        </w:tblPrEx>
        <w:trPr>
          <w:trHeight w:val="454" w:hRule="atLeast"/>
        </w:trPr>
        <w:tc>
          <w:tcPr>
            <w:tcW w:w="2303" w:type="dxa"/>
            <w:vMerge w:val="restart"/>
            <w:tcBorders>
              <w:top w:val="nil"/>
              <w:left w:val="single" w:color="auto" w:sz="4" w:space="0"/>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资产管理</w:t>
            </w:r>
          </w:p>
        </w:tc>
        <w:tc>
          <w:tcPr>
            <w:tcW w:w="2310"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基建类</w:t>
            </w:r>
          </w:p>
        </w:tc>
        <w:tc>
          <w:tcPr>
            <w:tcW w:w="3683"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汇总所有征收类项目的年度计划投资、四季度计划投资；可查看明细</w:t>
            </w:r>
          </w:p>
        </w:tc>
      </w:tr>
      <w:tr>
        <w:tblPrEx>
          <w:tblCellMar>
            <w:top w:w="0" w:type="dxa"/>
            <w:left w:w="108" w:type="dxa"/>
            <w:bottom w:w="0" w:type="dxa"/>
            <w:right w:w="108" w:type="dxa"/>
          </w:tblCellMar>
        </w:tblPrEx>
        <w:trPr>
          <w:trHeight w:val="454" w:hRule="atLeast"/>
        </w:trPr>
        <w:tc>
          <w:tcPr>
            <w:tcW w:w="2303" w:type="dxa"/>
            <w:vMerge w:val="continue"/>
            <w:tcBorders>
              <w:top w:val="nil"/>
              <w:left w:val="single" w:color="auto" w:sz="4" w:space="0"/>
              <w:bottom w:val="single" w:color="auto" w:sz="4" w:space="0"/>
              <w:right w:val="single" w:color="auto" w:sz="4" w:space="0"/>
            </w:tcBorders>
            <w:vAlign w:val="center"/>
          </w:tcPr>
          <w:p>
            <w:pPr>
              <w:kinsoku/>
              <w:wordWrap/>
              <w:topLinePunct w:val="0"/>
              <w:autoSpaceDE/>
              <w:autoSpaceDN/>
              <w:bidi w:val="0"/>
              <w:spacing w:line="560" w:lineRule="exact"/>
              <w:ind w:firstLine="0" w:firstLineChars="0"/>
              <w:jc w:val="center"/>
            </w:pPr>
          </w:p>
        </w:tc>
        <w:tc>
          <w:tcPr>
            <w:tcW w:w="2310"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出让类</w:t>
            </w:r>
          </w:p>
        </w:tc>
        <w:tc>
          <w:tcPr>
            <w:tcW w:w="3683"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按照四个季度每个出让类项目的计划进度和实际进度对比；可查看明细</w:t>
            </w:r>
          </w:p>
        </w:tc>
      </w:tr>
      <w:tr>
        <w:tblPrEx>
          <w:tblCellMar>
            <w:top w:w="0" w:type="dxa"/>
            <w:left w:w="108" w:type="dxa"/>
            <w:bottom w:w="0" w:type="dxa"/>
            <w:right w:w="108" w:type="dxa"/>
          </w:tblCellMar>
        </w:tblPrEx>
        <w:trPr>
          <w:trHeight w:val="454" w:hRule="atLeast"/>
        </w:trPr>
        <w:tc>
          <w:tcPr>
            <w:tcW w:w="2303" w:type="dxa"/>
            <w:vMerge w:val="continue"/>
            <w:tcBorders>
              <w:top w:val="nil"/>
              <w:left w:val="single" w:color="auto" w:sz="4" w:space="0"/>
              <w:bottom w:val="single" w:color="auto" w:sz="4" w:space="0"/>
              <w:right w:val="single" w:color="auto" w:sz="4" w:space="0"/>
            </w:tcBorders>
            <w:vAlign w:val="center"/>
          </w:tcPr>
          <w:p>
            <w:pPr>
              <w:kinsoku/>
              <w:wordWrap/>
              <w:topLinePunct w:val="0"/>
              <w:autoSpaceDE/>
              <w:autoSpaceDN/>
              <w:bidi w:val="0"/>
              <w:spacing w:line="560" w:lineRule="exact"/>
              <w:ind w:firstLine="0" w:firstLineChars="0"/>
              <w:jc w:val="center"/>
            </w:pPr>
          </w:p>
        </w:tc>
        <w:tc>
          <w:tcPr>
            <w:tcW w:w="2310"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房产类</w:t>
            </w:r>
          </w:p>
        </w:tc>
        <w:tc>
          <w:tcPr>
            <w:tcW w:w="3683"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针对实际资产管理总面积、现有经营面积、收入情况进行数据展示</w:t>
            </w:r>
          </w:p>
        </w:tc>
      </w:tr>
      <w:tr>
        <w:tblPrEx>
          <w:tblCellMar>
            <w:top w:w="0" w:type="dxa"/>
            <w:left w:w="108" w:type="dxa"/>
            <w:bottom w:w="0" w:type="dxa"/>
            <w:right w:w="108" w:type="dxa"/>
          </w:tblCellMar>
        </w:tblPrEx>
        <w:trPr>
          <w:trHeight w:val="454" w:hRule="atLeast"/>
        </w:trPr>
        <w:tc>
          <w:tcPr>
            <w:tcW w:w="2303" w:type="dxa"/>
            <w:vMerge w:val="continue"/>
            <w:tcBorders>
              <w:top w:val="nil"/>
              <w:left w:val="single" w:color="auto" w:sz="4" w:space="0"/>
              <w:bottom w:val="single" w:color="auto" w:sz="4" w:space="0"/>
              <w:right w:val="single" w:color="auto" w:sz="4" w:space="0"/>
            </w:tcBorders>
            <w:vAlign w:val="center"/>
          </w:tcPr>
          <w:p>
            <w:pPr>
              <w:kinsoku/>
              <w:wordWrap/>
              <w:topLinePunct w:val="0"/>
              <w:autoSpaceDE/>
              <w:autoSpaceDN/>
              <w:bidi w:val="0"/>
              <w:spacing w:line="560" w:lineRule="exact"/>
              <w:ind w:firstLine="0" w:firstLineChars="0"/>
              <w:jc w:val="center"/>
            </w:pPr>
          </w:p>
        </w:tc>
        <w:tc>
          <w:tcPr>
            <w:tcW w:w="2310"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土地管理</w:t>
            </w:r>
          </w:p>
        </w:tc>
        <w:tc>
          <w:tcPr>
            <w:tcW w:w="3683"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line="560" w:lineRule="exact"/>
              <w:ind w:firstLine="0" w:firstLineChars="0"/>
              <w:jc w:val="center"/>
            </w:pPr>
            <w:r>
              <w:rPr>
                <w:rFonts w:hint="eastAsia"/>
              </w:rPr>
              <w:t>针对实际管理宗地数、总面积、现有经营宗地数、总面积、总收入进行数据展示</w:t>
            </w:r>
          </w:p>
        </w:tc>
      </w:tr>
    </w:tbl>
    <w:p>
      <w:pPr>
        <w:kinsoku/>
        <w:wordWrap/>
        <w:topLinePunct w:val="0"/>
        <w:autoSpaceDE/>
        <w:autoSpaceDN/>
        <w:bidi w:val="0"/>
        <w:spacing w:line="560" w:lineRule="exact"/>
        <w:ind w:firstLine="604"/>
        <w:rPr>
          <w:snapToGrid w:val="0"/>
        </w:rPr>
      </w:pPr>
    </w:p>
    <w:p>
      <w:pPr>
        <w:pStyle w:val="8"/>
        <w:kinsoku/>
        <w:wordWrap/>
        <w:topLinePunct w:val="0"/>
        <w:autoSpaceDE/>
        <w:autoSpaceDN/>
        <w:bidi w:val="0"/>
        <w:spacing w:before="198" w:after="198" w:line="560" w:lineRule="exact"/>
      </w:pPr>
      <w:r>
        <w:rPr>
          <w:rFonts w:hint="eastAsia"/>
        </w:rPr>
        <w:t>监事长驾驶舱</w:t>
      </w:r>
    </w:p>
    <w:p>
      <w:pPr>
        <w:keepNext/>
        <w:widowControl w:val="0"/>
        <w:numPr>
          <w:ilvl w:val="0"/>
          <w:numId w:val="18"/>
        </w:numPr>
        <w:kinsoku/>
        <w:wordWrap/>
        <w:topLinePunct w:val="0"/>
        <w:autoSpaceDE/>
        <w:autoSpaceDN/>
        <w:bidi w:val="0"/>
        <w:spacing w:before="397" w:beforeLines="100" w:line="560" w:lineRule="exact"/>
        <w:ind w:firstLineChars="0"/>
        <w:jc w:val="center"/>
        <w:textAlignment w:val="center"/>
        <w:rPr>
          <w:rFonts w:ascii="方正仿宋_GBK" w:hAnsi="方正仿宋_GBK"/>
          <w:snapToGrid w:val="0"/>
        </w:rPr>
      </w:pPr>
      <w:r>
        <w:rPr>
          <w:rFonts w:hint="eastAsia" w:ascii="方正仿宋_GBK" w:hAnsi="方正仿宋_GBK"/>
          <w:snapToGrid w:val="0"/>
        </w:rPr>
        <w:t>监事长驾驶舱</w:t>
      </w:r>
    </w:p>
    <w:tbl>
      <w:tblPr>
        <w:tblStyle w:val="11"/>
        <w:tblW w:w="0" w:type="auto"/>
        <w:tblInd w:w="0" w:type="dxa"/>
        <w:tblLayout w:type="autofit"/>
        <w:tblCellMar>
          <w:top w:w="0" w:type="dxa"/>
          <w:left w:w="108" w:type="dxa"/>
          <w:bottom w:w="0" w:type="dxa"/>
          <w:right w:w="108" w:type="dxa"/>
        </w:tblCellMar>
      </w:tblPr>
      <w:tblGrid>
        <w:gridCol w:w="2203"/>
        <w:gridCol w:w="2445"/>
        <w:gridCol w:w="3823"/>
      </w:tblGrid>
      <w:tr>
        <w:tblPrEx>
          <w:tblCellMar>
            <w:top w:w="0" w:type="dxa"/>
            <w:left w:w="108" w:type="dxa"/>
            <w:bottom w:w="0" w:type="dxa"/>
            <w:right w:w="108" w:type="dxa"/>
          </w:tblCellMar>
        </w:tblPrEx>
        <w:trPr>
          <w:trHeight w:val="624" w:hRule="atLeast"/>
          <w:tblHeader/>
        </w:trPr>
        <w:tc>
          <w:tcPr>
            <w:tcW w:w="22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b/>
              </w:rPr>
            </w:pPr>
            <w:r>
              <w:rPr>
                <w:rFonts w:hint="eastAsia" w:ascii="方正仿宋_GBK" w:hAnsi="方正仿宋_GBK"/>
                <w:b/>
              </w:rPr>
              <w:t>一级分析主题</w:t>
            </w:r>
          </w:p>
        </w:tc>
        <w:tc>
          <w:tcPr>
            <w:tcW w:w="2445" w:type="dxa"/>
            <w:tcBorders>
              <w:top w:val="single" w:color="auto" w:sz="4" w:space="0"/>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b/>
              </w:rPr>
            </w:pPr>
            <w:r>
              <w:rPr>
                <w:rFonts w:hint="eastAsia" w:ascii="方正仿宋_GBK" w:hAnsi="方正仿宋_GBK"/>
                <w:b/>
              </w:rPr>
              <w:t>二级分析主题</w:t>
            </w:r>
          </w:p>
        </w:tc>
        <w:tc>
          <w:tcPr>
            <w:tcW w:w="3823" w:type="dxa"/>
            <w:tcBorders>
              <w:top w:val="single" w:color="auto" w:sz="4" w:space="0"/>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b/>
              </w:rPr>
            </w:pPr>
            <w:r>
              <w:rPr>
                <w:rFonts w:hint="eastAsia" w:ascii="方正仿宋_GBK" w:hAnsi="方正仿宋_GBK"/>
                <w:b/>
              </w:rPr>
              <w:t>详细分析内容</w:t>
            </w:r>
          </w:p>
        </w:tc>
      </w:tr>
      <w:tr>
        <w:tblPrEx>
          <w:tblCellMar>
            <w:top w:w="0" w:type="dxa"/>
            <w:left w:w="108" w:type="dxa"/>
            <w:bottom w:w="0" w:type="dxa"/>
            <w:right w:w="108" w:type="dxa"/>
          </w:tblCellMar>
        </w:tblPrEx>
        <w:trPr>
          <w:trHeight w:val="280" w:hRule="atLeast"/>
        </w:trPr>
        <w:tc>
          <w:tcPr>
            <w:tcW w:w="2203" w:type="dxa"/>
            <w:vMerge w:val="restart"/>
            <w:tcBorders>
              <w:top w:val="nil"/>
              <w:left w:val="single" w:color="auto" w:sz="4" w:space="0"/>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监事管理</w:t>
            </w:r>
          </w:p>
        </w:tc>
        <w:tc>
          <w:tcPr>
            <w:tcW w:w="2445"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rPr>
                <w:rFonts w:ascii="方正仿宋_GBK" w:hAnsi="方正仿宋_GBK"/>
              </w:rPr>
            </w:pPr>
            <w:r>
              <w:rPr>
                <w:rFonts w:hint="eastAsia" w:ascii="方正仿宋_GBK" w:hAnsi="方正仿宋_GBK"/>
              </w:rPr>
              <w:t>利润</w:t>
            </w:r>
          </w:p>
        </w:tc>
        <w:tc>
          <w:tcPr>
            <w:tcW w:w="3823"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rPr>
                <w:rFonts w:ascii="方正仿宋_GBK" w:hAnsi="方正仿宋_GBK"/>
              </w:rPr>
            </w:pPr>
            <w:r>
              <w:rPr>
                <w:rFonts w:hint="eastAsia" w:ascii="方正仿宋_GBK" w:hAnsi="方正仿宋_GBK"/>
              </w:rPr>
              <w:t>公司去年利润明细表格</w:t>
            </w:r>
          </w:p>
        </w:tc>
      </w:tr>
      <w:tr>
        <w:tblPrEx>
          <w:tblCellMar>
            <w:top w:w="0" w:type="dxa"/>
            <w:left w:w="108" w:type="dxa"/>
            <w:bottom w:w="0" w:type="dxa"/>
            <w:right w:w="108" w:type="dxa"/>
          </w:tblCellMar>
        </w:tblPrEx>
        <w:trPr>
          <w:trHeight w:val="280" w:hRule="atLeast"/>
        </w:trPr>
        <w:tc>
          <w:tcPr>
            <w:tcW w:w="2203" w:type="dxa"/>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2445"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rPr>
                <w:rFonts w:ascii="方正仿宋_GBK" w:hAnsi="方正仿宋_GBK"/>
              </w:rPr>
            </w:pPr>
            <w:r>
              <w:rPr>
                <w:rFonts w:hint="eastAsia" w:ascii="方正仿宋_GBK" w:hAnsi="方正仿宋_GBK"/>
              </w:rPr>
              <w:t>净资产</w:t>
            </w:r>
          </w:p>
        </w:tc>
        <w:tc>
          <w:tcPr>
            <w:tcW w:w="3823"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rPr>
                <w:rFonts w:ascii="方正仿宋_GBK" w:hAnsi="方正仿宋_GBK"/>
              </w:rPr>
            </w:pPr>
            <w:r>
              <w:rPr>
                <w:rFonts w:hint="eastAsia" w:ascii="方正仿宋_GBK" w:hAnsi="方正仿宋_GBK"/>
              </w:rPr>
              <w:t>公司去年净资产明细表格</w:t>
            </w:r>
          </w:p>
        </w:tc>
      </w:tr>
      <w:tr>
        <w:tblPrEx>
          <w:tblCellMar>
            <w:top w:w="0" w:type="dxa"/>
            <w:left w:w="108" w:type="dxa"/>
            <w:bottom w:w="0" w:type="dxa"/>
            <w:right w:w="108" w:type="dxa"/>
          </w:tblCellMar>
        </w:tblPrEx>
        <w:trPr>
          <w:trHeight w:val="560" w:hRule="atLeast"/>
        </w:trPr>
        <w:tc>
          <w:tcPr>
            <w:tcW w:w="2203" w:type="dxa"/>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2445"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rPr>
                <w:rFonts w:ascii="方正仿宋_GBK" w:hAnsi="方正仿宋_GBK"/>
              </w:rPr>
            </w:pPr>
            <w:r>
              <w:rPr>
                <w:rFonts w:hint="eastAsia" w:ascii="方正仿宋_GBK" w:hAnsi="方正仿宋_GBK"/>
              </w:rPr>
              <w:t>总负债&amp;负债率</w:t>
            </w:r>
          </w:p>
        </w:tc>
        <w:tc>
          <w:tcPr>
            <w:tcW w:w="3823"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rPr>
                <w:rFonts w:ascii="方正仿宋_GBK" w:hAnsi="方正仿宋_GBK"/>
              </w:rPr>
            </w:pPr>
            <w:r>
              <w:rPr>
                <w:rFonts w:hint="eastAsia" w:ascii="方正仿宋_GBK" w:hAnsi="方正仿宋_GBK"/>
              </w:rPr>
              <w:t>公司去年总负债和负债率明细表格</w:t>
            </w:r>
          </w:p>
        </w:tc>
      </w:tr>
      <w:tr>
        <w:tblPrEx>
          <w:tblCellMar>
            <w:top w:w="0" w:type="dxa"/>
            <w:left w:w="108" w:type="dxa"/>
            <w:bottom w:w="0" w:type="dxa"/>
            <w:right w:w="108" w:type="dxa"/>
          </w:tblCellMar>
        </w:tblPrEx>
        <w:trPr>
          <w:trHeight w:val="1400" w:hRule="atLeast"/>
        </w:trPr>
        <w:tc>
          <w:tcPr>
            <w:tcW w:w="2203" w:type="dxa"/>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2445"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rPr>
                <w:rFonts w:ascii="方正仿宋_GBK" w:hAnsi="方正仿宋_GBK"/>
              </w:rPr>
            </w:pPr>
            <w:r>
              <w:rPr>
                <w:rFonts w:hint="eastAsia" w:ascii="方正仿宋_GBK" w:hAnsi="方正仿宋_GBK"/>
              </w:rPr>
              <w:t>风险类别构成</w:t>
            </w:r>
          </w:p>
        </w:tc>
        <w:tc>
          <w:tcPr>
            <w:tcW w:w="3823"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rPr>
                <w:rFonts w:ascii="方正仿宋_GBK" w:hAnsi="方正仿宋_GBK"/>
              </w:rPr>
            </w:pPr>
            <w:r>
              <w:rPr>
                <w:rFonts w:hint="eastAsia" w:ascii="方正仿宋_GBK" w:hAnsi="方正仿宋_GBK"/>
              </w:rPr>
              <w:t>风险类别为财务风险、战略风险、市场风险、运营风险、法律法规风险，可查看公司风险类别构成明细</w:t>
            </w:r>
          </w:p>
        </w:tc>
      </w:tr>
      <w:tr>
        <w:tblPrEx>
          <w:tblCellMar>
            <w:top w:w="0" w:type="dxa"/>
            <w:left w:w="108" w:type="dxa"/>
            <w:bottom w:w="0" w:type="dxa"/>
            <w:right w:w="108" w:type="dxa"/>
          </w:tblCellMar>
        </w:tblPrEx>
        <w:trPr>
          <w:trHeight w:val="280" w:hRule="atLeast"/>
        </w:trPr>
        <w:tc>
          <w:tcPr>
            <w:tcW w:w="2203" w:type="dxa"/>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2445"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rPr>
                <w:rFonts w:ascii="方正仿宋_GBK" w:hAnsi="方正仿宋_GBK"/>
              </w:rPr>
            </w:pPr>
            <w:r>
              <w:rPr>
                <w:rFonts w:hint="eastAsia" w:ascii="方正仿宋_GBK" w:hAnsi="方正仿宋_GBK"/>
              </w:rPr>
              <w:t>风险分布图</w:t>
            </w:r>
          </w:p>
        </w:tc>
        <w:tc>
          <w:tcPr>
            <w:tcW w:w="3823"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rPr>
                <w:rFonts w:ascii="方正仿宋_GBK" w:hAnsi="方正仿宋_GBK"/>
              </w:rPr>
            </w:pPr>
            <w:r>
              <w:rPr>
                <w:rFonts w:hint="eastAsia" w:ascii="方正仿宋_GBK" w:hAnsi="方正仿宋_GBK"/>
              </w:rPr>
              <w:t>公司风险分布明细情况</w:t>
            </w:r>
          </w:p>
        </w:tc>
      </w:tr>
      <w:tr>
        <w:tblPrEx>
          <w:tblCellMar>
            <w:top w:w="0" w:type="dxa"/>
            <w:left w:w="108" w:type="dxa"/>
            <w:bottom w:w="0" w:type="dxa"/>
            <w:right w:w="108" w:type="dxa"/>
          </w:tblCellMar>
        </w:tblPrEx>
        <w:trPr>
          <w:trHeight w:val="280" w:hRule="atLeast"/>
        </w:trPr>
        <w:tc>
          <w:tcPr>
            <w:tcW w:w="2203" w:type="dxa"/>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2445"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rPr>
                <w:rFonts w:ascii="方正仿宋_GBK" w:hAnsi="方正仿宋_GBK"/>
              </w:rPr>
            </w:pPr>
            <w:r>
              <w:rPr>
                <w:rFonts w:hint="eastAsia" w:ascii="方正仿宋_GBK" w:hAnsi="方正仿宋_GBK"/>
              </w:rPr>
              <w:t>项目风险预警</w:t>
            </w:r>
          </w:p>
        </w:tc>
        <w:tc>
          <w:tcPr>
            <w:tcW w:w="3823"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rPr>
                <w:rFonts w:ascii="方正仿宋_GBK" w:hAnsi="方正仿宋_GBK"/>
              </w:rPr>
            </w:pPr>
            <w:r>
              <w:rPr>
                <w:rFonts w:hint="eastAsia" w:ascii="方正仿宋_GBK" w:hAnsi="方正仿宋_GBK"/>
              </w:rPr>
              <w:t>公司项目风险预警情况</w:t>
            </w:r>
          </w:p>
        </w:tc>
      </w:tr>
      <w:tr>
        <w:tblPrEx>
          <w:tblCellMar>
            <w:top w:w="0" w:type="dxa"/>
            <w:left w:w="108" w:type="dxa"/>
            <w:bottom w:w="0" w:type="dxa"/>
            <w:right w:w="108" w:type="dxa"/>
          </w:tblCellMar>
        </w:tblPrEx>
        <w:trPr>
          <w:trHeight w:val="280" w:hRule="atLeast"/>
        </w:trPr>
        <w:tc>
          <w:tcPr>
            <w:tcW w:w="2203" w:type="dxa"/>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2445"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rPr>
                <w:rFonts w:ascii="方正仿宋_GBK" w:hAnsi="方正仿宋_GBK"/>
              </w:rPr>
            </w:pPr>
            <w:r>
              <w:rPr>
                <w:rFonts w:hint="eastAsia" w:ascii="方正仿宋_GBK" w:hAnsi="方正仿宋_GBK"/>
              </w:rPr>
              <w:t>投资项目</w:t>
            </w:r>
          </w:p>
        </w:tc>
        <w:tc>
          <w:tcPr>
            <w:tcW w:w="3823"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rPr>
                <w:rFonts w:ascii="方正仿宋_GBK" w:hAnsi="方正仿宋_GBK"/>
              </w:rPr>
            </w:pPr>
            <w:r>
              <w:rPr>
                <w:rFonts w:hint="eastAsia" w:ascii="方正仿宋_GBK" w:hAnsi="方正仿宋_GBK"/>
              </w:rPr>
              <w:t>公司投资项目明细情况</w:t>
            </w:r>
          </w:p>
        </w:tc>
      </w:tr>
      <w:tr>
        <w:tblPrEx>
          <w:tblCellMar>
            <w:top w:w="0" w:type="dxa"/>
            <w:left w:w="108" w:type="dxa"/>
            <w:bottom w:w="0" w:type="dxa"/>
            <w:right w:w="108" w:type="dxa"/>
          </w:tblCellMar>
        </w:tblPrEx>
        <w:trPr>
          <w:trHeight w:val="280" w:hRule="atLeast"/>
        </w:trPr>
        <w:tc>
          <w:tcPr>
            <w:tcW w:w="2203" w:type="dxa"/>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2445"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rPr>
                <w:rFonts w:ascii="方正仿宋_GBK" w:hAnsi="方正仿宋_GBK"/>
              </w:rPr>
            </w:pPr>
            <w:r>
              <w:rPr>
                <w:rFonts w:hint="eastAsia" w:ascii="方正仿宋_GBK" w:hAnsi="方正仿宋_GBK"/>
              </w:rPr>
              <w:t>投资企业</w:t>
            </w:r>
          </w:p>
        </w:tc>
        <w:tc>
          <w:tcPr>
            <w:tcW w:w="3823"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rPr>
                <w:rFonts w:ascii="方正仿宋_GBK" w:hAnsi="方正仿宋_GBK"/>
              </w:rPr>
            </w:pPr>
            <w:r>
              <w:rPr>
                <w:rFonts w:hint="eastAsia" w:ascii="方正仿宋_GBK" w:hAnsi="方正仿宋_GBK"/>
              </w:rPr>
              <w:t>公司投资企业明细情况</w:t>
            </w:r>
          </w:p>
        </w:tc>
      </w:tr>
      <w:tr>
        <w:tblPrEx>
          <w:tblCellMar>
            <w:top w:w="0" w:type="dxa"/>
            <w:left w:w="108" w:type="dxa"/>
            <w:bottom w:w="0" w:type="dxa"/>
            <w:right w:w="108" w:type="dxa"/>
          </w:tblCellMar>
        </w:tblPrEx>
        <w:trPr>
          <w:trHeight w:val="560" w:hRule="atLeast"/>
        </w:trPr>
        <w:tc>
          <w:tcPr>
            <w:tcW w:w="2203" w:type="dxa"/>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2445"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rPr>
                <w:rFonts w:ascii="方正仿宋_GBK" w:hAnsi="方正仿宋_GBK"/>
              </w:rPr>
            </w:pPr>
            <w:r>
              <w:rPr>
                <w:rFonts w:hint="eastAsia" w:ascii="方正仿宋_GBK" w:hAnsi="方正仿宋_GBK"/>
              </w:rPr>
              <w:t>问题整改</w:t>
            </w:r>
          </w:p>
        </w:tc>
        <w:tc>
          <w:tcPr>
            <w:tcW w:w="3823"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rPr>
                <w:rFonts w:ascii="方正仿宋_GBK" w:hAnsi="方正仿宋_GBK"/>
              </w:rPr>
            </w:pPr>
            <w:r>
              <w:rPr>
                <w:rFonts w:hint="eastAsia" w:ascii="方正仿宋_GBK" w:hAnsi="方正仿宋_GBK"/>
              </w:rPr>
              <w:t>提示问题数量及完成整改数</w:t>
            </w:r>
          </w:p>
        </w:tc>
      </w:tr>
      <w:tr>
        <w:tblPrEx>
          <w:tblCellMar>
            <w:top w:w="0" w:type="dxa"/>
            <w:left w:w="108" w:type="dxa"/>
            <w:bottom w:w="0" w:type="dxa"/>
            <w:right w:w="108" w:type="dxa"/>
          </w:tblCellMar>
        </w:tblPrEx>
        <w:trPr>
          <w:trHeight w:val="280" w:hRule="atLeast"/>
        </w:trPr>
        <w:tc>
          <w:tcPr>
            <w:tcW w:w="2203" w:type="dxa"/>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2445"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rPr>
                <w:rFonts w:ascii="方正仿宋_GBK" w:hAnsi="方正仿宋_GBK"/>
              </w:rPr>
            </w:pPr>
            <w:r>
              <w:rPr>
                <w:rFonts w:hint="eastAsia" w:ascii="方正仿宋_GBK" w:hAnsi="方正仿宋_GBK"/>
              </w:rPr>
              <w:t>工作任务</w:t>
            </w:r>
          </w:p>
        </w:tc>
        <w:tc>
          <w:tcPr>
            <w:tcW w:w="3823"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rPr>
                <w:rFonts w:ascii="方正仿宋_GBK" w:hAnsi="方正仿宋_GBK"/>
              </w:rPr>
            </w:pPr>
            <w:r>
              <w:rPr>
                <w:rFonts w:hint="eastAsia" w:ascii="方正仿宋_GBK" w:hAnsi="方正仿宋_GBK"/>
              </w:rPr>
              <w:t>工作任务查看</w:t>
            </w:r>
          </w:p>
        </w:tc>
      </w:tr>
      <w:tr>
        <w:tblPrEx>
          <w:tblCellMar>
            <w:top w:w="0" w:type="dxa"/>
            <w:left w:w="108" w:type="dxa"/>
            <w:bottom w:w="0" w:type="dxa"/>
            <w:right w:w="108" w:type="dxa"/>
          </w:tblCellMar>
        </w:tblPrEx>
        <w:trPr>
          <w:trHeight w:val="280" w:hRule="atLeast"/>
        </w:trPr>
        <w:tc>
          <w:tcPr>
            <w:tcW w:w="2203" w:type="dxa"/>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2445"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rPr>
                <w:rFonts w:ascii="方正仿宋_GBK" w:hAnsi="方正仿宋_GBK"/>
              </w:rPr>
            </w:pPr>
            <w:r>
              <w:rPr>
                <w:rFonts w:hint="eastAsia" w:ascii="方正仿宋_GBK" w:hAnsi="方正仿宋_GBK"/>
              </w:rPr>
              <w:t>任务达成情况</w:t>
            </w:r>
          </w:p>
        </w:tc>
        <w:tc>
          <w:tcPr>
            <w:tcW w:w="3823"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rPr>
                <w:rFonts w:ascii="方正仿宋_GBK" w:hAnsi="方正仿宋_GBK"/>
              </w:rPr>
            </w:pPr>
            <w:r>
              <w:rPr>
                <w:rFonts w:hint="eastAsia" w:ascii="方正仿宋_GBK" w:hAnsi="方正仿宋_GBK"/>
              </w:rPr>
              <w:t>任务完成情况查看</w:t>
            </w:r>
          </w:p>
        </w:tc>
      </w:tr>
      <w:tr>
        <w:tblPrEx>
          <w:tblCellMar>
            <w:top w:w="0" w:type="dxa"/>
            <w:left w:w="108" w:type="dxa"/>
            <w:bottom w:w="0" w:type="dxa"/>
            <w:right w:w="108" w:type="dxa"/>
          </w:tblCellMar>
        </w:tblPrEx>
        <w:trPr>
          <w:trHeight w:val="840" w:hRule="atLeast"/>
        </w:trPr>
        <w:tc>
          <w:tcPr>
            <w:tcW w:w="2203" w:type="dxa"/>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2445"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rPr>
                <w:rFonts w:ascii="方正仿宋_GBK" w:hAnsi="方正仿宋_GBK"/>
              </w:rPr>
            </w:pPr>
            <w:r>
              <w:rPr>
                <w:rFonts w:hint="eastAsia" w:ascii="方正仿宋_GBK" w:hAnsi="方正仿宋_GBK"/>
              </w:rPr>
              <w:t>重要干部任务</w:t>
            </w:r>
          </w:p>
        </w:tc>
        <w:tc>
          <w:tcPr>
            <w:tcW w:w="3823"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rPr>
                <w:rFonts w:ascii="方正仿宋_GBK" w:hAnsi="方正仿宋_GBK"/>
              </w:rPr>
            </w:pPr>
            <w:r>
              <w:rPr>
                <w:rFonts w:hint="eastAsia" w:ascii="方正仿宋_GBK" w:hAnsi="方正仿宋_GBK"/>
              </w:rPr>
              <w:t>按届次会议查询干部名称、任免类型、现任职务、拟任职务</w:t>
            </w:r>
          </w:p>
        </w:tc>
      </w:tr>
    </w:tbl>
    <w:p>
      <w:pPr>
        <w:kinsoku/>
        <w:wordWrap/>
        <w:topLinePunct w:val="0"/>
        <w:autoSpaceDE/>
        <w:autoSpaceDN/>
        <w:bidi w:val="0"/>
        <w:spacing w:line="560" w:lineRule="exact"/>
        <w:ind w:firstLine="604"/>
        <w:rPr>
          <w:rFonts w:ascii="方正仿宋_GBK" w:hAnsi="方正仿宋_GBK"/>
          <w:snapToGrid w:val="0"/>
        </w:rPr>
      </w:pPr>
    </w:p>
    <w:p>
      <w:pPr>
        <w:pStyle w:val="8"/>
        <w:kinsoku/>
        <w:wordWrap/>
        <w:topLinePunct w:val="0"/>
        <w:autoSpaceDE/>
        <w:autoSpaceDN/>
        <w:bidi w:val="0"/>
        <w:spacing w:before="198" w:after="198" w:line="560" w:lineRule="exact"/>
      </w:pPr>
      <w:r>
        <w:rPr>
          <w:rFonts w:hint="eastAsia"/>
        </w:rPr>
        <w:t>纪检监察驾驶舱</w:t>
      </w:r>
    </w:p>
    <w:p>
      <w:pPr>
        <w:keepNext/>
        <w:widowControl w:val="0"/>
        <w:numPr>
          <w:ilvl w:val="0"/>
          <w:numId w:val="18"/>
        </w:numPr>
        <w:kinsoku/>
        <w:wordWrap/>
        <w:topLinePunct w:val="0"/>
        <w:autoSpaceDE/>
        <w:autoSpaceDN/>
        <w:bidi w:val="0"/>
        <w:spacing w:before="397" w:beforeLines="100" w:line="560" w:lineRule="exact"/>
        <w:ind w:firstLineChars="0"/>
        <w:jc w:val="center"/>
        <w:textAlignment w:val="center"/>
        <w:rPr>
          <w:rFonts w:ascii="方正仿宋_GBK" w:hAnsi="方正仿宋_GBK"/>
          <w:snapToGrid w:val="0"/>
        </w:rPr>
      </w:pPr>
      <w:r>
        <w:rPr>
          <w:rFonts w:hint="eastAsia" w:ascii="方正仿宋_GBK" w:hAnsi="方正仿宋_GBK"/>
          <w:snapToGrid w:val="0"/>
        </w:rPr>
        <w:t>纪检监察驾驶舱</w:t>
      </w:r>
    </w:p>
    <w:tbl>
      <w:tblPr>
        <w:tblStyle w:val="11"/>
        <w:tblW w:w="0" w:type="auto"/>
        <w:tblInd w:w="0" w:type="dxa"/>
        <w:tblLayout w:type="autofit"/>
        <w:tblCellMar>
          <w:top w:w="0" w:type="dxa"/>
          <w:left w:w="108" w:type="dxa"/>
          <w:bottom w:w="0" w:type="dxa"/>
          <w:right w:w="108" w:type="dxa"/>
        </w:tblCellMar>
      </w:tblPr>
      <w:tblGrid>
        <w:gridCol w:w="2203"/>
        <w:gridCol w:w="2445"/>
        <w:gridCol w:w="3823"/>
      </w:tblGrid>
      <w:tr>
        <w:tblPrEx>
          <w:tblCellMar>
            <w:top w:w="0" w:type="dxa"/>
            <w:left w:w="108" w:type="dxa"/>
            <w:bottom w:w="0" w:type="dxa"/>
            <w:right w:w="108" w:type="dxa"/>
          </w:tblCellMar>
        </w:tblPrEx>
        <w:trPr>
          <w:trHeight w:val="624" w:hRule="atLeast"/>
          <w:tblHeader/>
        </w:trPr>
        <w:tc>
          <w:tcPr>
            <w:tcW w:w="22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b/>
              </w:rPr>
            </w:pPr>
            <w:r>
              <w:rPr>
                <w:rFonts w:hint="eastAsia" w:ascii="方正仿宋_GBK" w:hAnsi="方正仿宋_GBK"/>
                <w:b/>
              </w:rPr>
              <w:t>一级分析主题</w:t>
            </w:r>
          </w:p>
        </w:tc>
        <w:tc>
          <w:tcPr>
            <w:tcW w:w="2445" w:type="dxa"/>
            <w:tcBorders>
              <w:top w:val="single" w:color="auto" w:sz="4" w:space="0"/>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b/>
              </w:rPr>
            </w:pPr>
            <w:r>
              <w:rPr>
                <w:rFonts w:hint="eastAsia" w:ascii="方正仿宋_GBK" w:hAnsi="方正仿宋_GBK"/>
                <w:b/>
              </w:rPr>
              <w:t>二级分析主题</w:t>
            </w:r>
          </w:p>
        </w:tc>
        <w:tc>
          <w:tcPr>
            <w:tcW w:w="3823" w:type="dxa"/>
            <w:tcBorders>
              <w:top w:val="single" w:color="auto" w:sz="4" w:space="0"/>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b/>
              </w:rPr>
            </w:pPr>
            <w:r>
              <w:rPr>
                <w:rFonts w:hint="eastAsia" w:ascii="方正仿宋_GBK" w:hAnsi="方正仿宋_GBK"/>
                <w:b/>
              </w:rPr>
              <w:t>详细分析内容</w:t>
            </w:r>
          </w:p>
        </w:tc>
      </w:tr>
      <w:tr>
        <w:tblPrEx>
          <w:tblCellMar>
            <w:top w:w="0" w:type="dxa"/>
            <w:left w:w="108" w:type="dxa"/>
            <w:bottom w:w="0" w:type="dxa"/>
            <w:right w:w="108" w:type="dxa"/>
          </w:tblCellMar>
        </w:tblPrEx>
        <w:trPr>
          <w:trHeight w:val="454" w:hRule="atLeast"/>
        </w:trPr>
        <w:tc>
          <w:tcPr>
            <w:tcW w:w="2203" w:type="dxa"/>
            <w:vMerge w:val="restart"/>
            <w:tcBorders>
              <w:top w:val="nil"/>
              <w:left w:val="single" w:color="auto" w:sz="4" w:space="0"/>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纪检监察</w:t>
            </w:r>
          </w:p>
        </w:tc>
        <w:tc>
          <w:tcPr>
            <w:tcW w:w="2445"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管理费用</w:t>
            </w:r>
          </w:p>
        </w:tc>
        <w:tc>
          <w:tcPr>
            <w:tcW w:w="3823"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展示公司名称、期间、费用金额、费用累计</w:t>
            </w:r>
          </w:p>
        </w:tc>
      </w:tr>
      <w:tr>
        <w:tblPrEx>
          <w:tblCellMar>
            <w:top w:w="0" w:type="dxa"/>
            <w:left w:w="108" w:type="dxa"/>
            <w:bottom w:w="0" w:type="dxa"/>
            <w:right w:w="108" w:type="dxa"/>
          </w:tblCellMar>
        </w:tblPrEx>
        <w:trPr>
          <w:trHeight w:val="454" w:hRule="atLeast"/>
        </w:trPr>
        <w:tc>
          <w:tcPr>
            <w:tcW w:w="2203" w:type="dxa"/>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2445"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银行账户</w:t>
            </w:r>
          </w:p>
        </w:tc>
        <w:tc>
          <w:tcPr>
            <w:tcW w:w="3823"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银行新开户数量及注销户数显示</w:t>
            </w:r>
          </w:p>
        </w:tc>
      </w:tr>
      <w:tr>
        <w:tblPrEx>
          <w:tblCellMar>
            <w:top w:w="0" w:type="dxa"/>
            <w:left w:w="108" w:type="dxa"/>
            <w:bottom w:w="0" w:type="dxa"/>
            <w:right w:w="108" w:type="dxa"/>
          </w:tblCellMar>
        </w:tblPrEx>
        <w:trPr>
          <w:trHeight w:val="454" w:hRule="atLeast"/>
        </w:trPr>
        <w:tc>
          <w:tcPr>
            <w:tcW w:w="2203" w:type="dxa"/>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2445"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工程招投标</w:t>
            </w:r>
          </w:p>
        </w:tc>
        <w:tc>
          <w:tcPr>
            <w:tcW w:w="3823"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分析三类工程招投标的不同金额范围的项目数量，展示工程项目列表，对招投标不合规的项目进行预警</w:t>
            </w:r>
          </w:p>
        </w:tc>
      </w:tr>
      <w:tr>
        <w:tblPrEx>
          <w:tblCellMar>
            <w:top w:w="0" w:type="dxa"/>
            <w:left w:w="108" w:type="dxa"/>
            <w:bottom w:w="0" w:type="dxa"/>
            <w:right w:w="108" w:type="dxa"/>
          </w:tblCellMar>
        </w:tblPrEx>
        <w:trPr>
          <w:trHeight w:val="454" w:hRule="atLeast"/>
        </w:trPr>
        <w:tc>
          <w:tcPr>
            <w:tcW w:w="2203" w:type="dxa"/>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2445"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重点投资项目</w:t>
            </w:r>
          </w:p>
        </w:tc>
        <w:tc>
          <w:tcPr>
            <w:tcW w:w="3823"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联查项目详细信息</w:t>
            </w:r>
          </w:p>
        </w:tc>
      </w:tr>
      <w:tr>
        <w:tblPrEx>
          <w:tblCellMar>
            <w:top w:w="0" w:type="dxa"/>
            <w:left w:w="108" w:type="dxa"/>
            <w:bottom w:w="0" w:type="dxa"/>
            <w:right w:w="108" w:type="dxa"/>
          </w:tblCellMar>
        </w:tblPrEx>
        <w:trPr>
          <w:trHeight w:val="454" w:hRule="atLeast"/>
        </w:trPr>
        <w:tc>
          <w:tcPr>
            <w:tcW w:w="2203" w:type="dxa"/>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2445"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重要干部任免</w:t>
            </w:r>
          </w:p>
        </w:tc>
        <w:tc>
          <w:tcPr>
            <w:tcW w:w="3823"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按照届次会议进行查询干部名称、任免类型、现任职务、拟任职务，也可联查人员详细信息</w:t>
            </w:r>
          </w:p>
        </w:tc>
      </w:tr>
      <w:tr>
        <w:tblPrEx>
          <w:tblCellMar>
            <w:top w:w="0" w:type="dxa"/>
            <w:left w:w="108" w:type="dxa"/>
            <w:bottom w:w="0" w:type="dxa"/>
            <w:right w:w="108" w:type="dxa"/>
          </w:tblCellMar>
        </w:tblPrEx>
        <w:trPr>
          <w:trHeight w:val="454" w:hRule="atLeast"/>
        </w:trPr>
        <w:tc>
          <w:tcPr>
            <w:tcW w:w="2203" w:type="dxa"/>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2445"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薪酬分析</w:t>
            </w:r>
          </w:p>
        </w:tc>
        <w:tc>
          <w:tcPr>
            <w:tcW w:w="3823"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公司薪酬分析</w:t>
            </w:r>
          </w:p>
        </w:tc>
      </w:tr>
    </w:tbl>
    <w:p>
      <w:pPr>
        <w:kinsoku/>
        <w:wordWrap/>
        <w:topLinePunct w:val="0"/>
        <w:autoSpaceDE/>
        <w:autoSpaceDN/>
        <w:bidi w:val="0"/>
        <w:spacing w:line="560" w:lineRule="exact"/>
        <w:ind w:firstLine="604"/>
        <w:rPr>
          <w:rFonts w:ascii="方正仿宋_GBK" w:hAnsi="方正仿宋_GBK"/>
          <w:snapToGrid w:val="0"/>
        </w:rPr>
      </w:pPr>
    </w:p>
    <w:p>
      <w:pPr>
        <w:pStyle w:val="8"/>
        <w:kinsoku/>
        <w:wordWrap/>
        <w:topLinePunct w:val="0"/>
        <w:autoSpaceDE/>
        <w:autoSpaceDN/>
        <w:bidi w:val="0"/>
        <w:spacing w:before="198" w:after="198" w:line="560" w:lineRule="exact"/>
      </w:pPr>
      <w:r>
        <w:rPr>
          <w:rFonts w:hint="eastAsia"/>
        </w:rPr>
        <w:t>财务管理领导驾驶舱</w:t>
      </w:r>
    </w:p>
    <w:p>
      <w:pPr>
        <w:keepNext/>
        <w:widowControl w:val="0"/>
        <w:numPr>
          <w:ilvl w:val="0"/>
          <w:numId w:val="18"/>
        </w:numPr>
        <w:kinsoku/>
        <w:wordWrap/>
        <w:topLinePunct w:val="0"/>
        <w:autoSpaceDE/>
        <w:autoSpaceDN/>
        <w:bidi w:val="0"/>
        <w:spacing w:before="397" w:beforeLines="100" w:line="560" w:lineRule="exact"/>
        <w:ind w:firstLineChars="0"/>
        <w:jc w:val="center"/>
        <w:textAlignment w:val="center"/>
        <w:rPr>
          <w:rFonts w:ascii="方正仿宋_GBK" w:hAnsi="方正仿宋_GBK"/>
          <w:snapToGrid w:val="0"/>
        </w:rPr>
      </w:pPr>
      <w:r>
        <w:rPr>
          <w:rFonts w:hint="eastAsia" w:ascii="方正仿宋_GBK" w:hAnsi="方正仿宋_GBK"/>
          <w:snapToGrid w:val="0"/>
        </w:rPr>
        <w:t>财务管理领导驾驶舱</w:t>
      </w:r>
    </w:p>
    <w:tbl>
      <w:tblPr>
        <w:tblStyle w:val="11"/>
        <w:tblW w:w="4998" w:type="pct"/>
        <w:tblInd w:w="0" w:type="dxa"/>
        <w:tblLayout w:type="autofit"/>
        <w:tblCellMar>
          <w:top w:w="0" w:type="dxa"/>
          <w:left w:w="108" w:type="dxa"/>
          <w:bottom w:w="0" w:type="dxa"/>
          <w:right w:w="108" w:type="dxa"/>
        </w:tblCellMar>
      </w:tblPr>
      <w:tblGrid>
        <w:gridCol w:w="2215"/>
        <w:gridCol w:w="2476"/>
        <w:gridCol w:w="3828"/>
      </w:tblGrid>
      <w:tr>
        <w:tblPrEx>
          <w:tblCellMar>
            <w:top w:w="0" w:type="dxa"/>
            <w:left w:w="108" w:type="dxa"/>
            <w:bottom w:w="0" w:type="dxa"/>
            <w:right w:w="108" w:type="dxa"/>
          </w:tblCellMar>
        </w:tblPrEx>
        <w:trPr>
          <w:trHeight w:val="624" w:hRule="atLeast"/>
          <w:tblHeader/>
        </w:trPr>
        <w:tc>
          <w:tcPr>
            <w:tcW w:w="130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b/>
              </w:rPr>
            </w:pPr>
            <w:r>
              <w:rPr>
                <w:rFonts w:hint="eastAsia" w:ascii="方正仿宋_GBK" w:hAnsi="方正仿宋_GBK"/>
                <w:b/>
              </w:rPr>
              <w:t>一级分析主题</w:t>
            </w:r>
          </w:p>
        </w:tc>
        <w:tc>
          <w:tcPr>
            <w:tcW w:w="1453" w:type="pct"/>
            <w:tcBorders>
              <w:top w:val="single" w:color="auto" w:sz="4" w:space="0"/>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b/>
              </w:rPr>
            </w:pPr>
            <w:r>
              <w:rPr>
                <w:rFonts w:hint="eastAsia" w:ascii="方正仿宋_GBK" w:hAnsi="方正仿宋_GBK"/>
                <w:b/>
              </w:rPr>
              <w:t>二级分析主题</w:t>
            </w:r>
          </w:p>
        </w:tc>
        <w:tc>
          <w:tcPr>
            <w:tcW w:w="2246" w:type="pct"/>
            <w:tcBorders>
              <w:top w:val="single" w:color="auto" w:sz="4" w:space="0"/>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b/>
              </w:rPr>
            </w:pPr>
            <w:r>
              <w:rPr>
                <w:rFonts w:hint="eastAsia" w:ascii="方正仿宋_GBK" w:hAnsi="方正仿宋_GBK"/>
                <w:b/>
              </w:rPr>
              <w:t>详细分析内容</w:t>
            </w:r>
          </w:p>
        </w:tc>
      </w:tr>
      <w:tr>
        <w:tblPrEx>
          <w:tblCellMar>
            <w:top w:w="0" w:type="dxa"/>
            <w:left w:w="108" w:type="dxa"/>
            <w:bottom w:w="0" w:type="dxa"/>
            <w:right w:w="108" w:type="dxa"/>
          </w:tblCellMar>
        </w:tblPrEx>
        <w:trPr>
          <w:trHeight w:val="454" w:hRule="atLeast"/>
        </w:trPr>
        <w:tc>
          <w:tcPr>
            <w:tcW w:w="1300" w:type="pct"/>
            <w:vMerge w:val="restart"/>
            <w:tcBorders>
              <w:top w:val="nil"/>
              <w:left w:val="single" w:color="auto" w:sz="4" w:space="0"/>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财务管理</w:t>
            </w:r>
          </w:p>
        </w:tc>
        <w:tc>
          <w:tcPr>
            <w:tcW w:w="1453"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管理费用</w:t>
            </w:r>
          </w:p>
        </w:tc>
        <w:tc>
          <w:tcPr>
            <w:tcW w:w="2246"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汇总</w:t>
            </w:r>
            <w:r>
              <w:rPr>
                <w:rFonts w:hint="eastAsia" w:ascii="方正仿宋_GBK" w:hAnsi="方正仿宋_GBK"/>
                <w:lang w:eastAsia="zh-CN"/>
              </w:rPr>
              <w:t>截至</w:t>
            </w:r>
            <w:r>
              <w:rPr>
                <w:rFonts w:hint="eastAsia" w:ascii="方正仿宋_GBK" w:hAnsi="方正仿宋_GBK"/>
              </w:rPr>
              <w:t>当前月份管理费用的年度累计值，并和去年同比；当前月份前一个月的管理费用，并和去年同比；联查子公司管理费用排名</w:t>
            </w:r>
          </w:p>
        </w:tc>
      </w:tr>
      <w:tr>
        <w:tblPrEx>
          <w:tblCellMar>
            <w:top w:w="0" w:type="dxa"/>
            <w:left w:w="108" w:type="dxa"/>
            <w:bottom w:w="0" w:type="dxa"/>
            <w:right w:w="108" w:type="dxa"/>
          </w:tblCellMar>
        </w:tblPrEx>
        <w:trPr>
          <w:trHeight w:val="454" w:hRule="atLeast"/>
        </w:trPr>
        <w:tc>
          <w:tcPr>
            <w:tcW w:w="1300"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p>
        </w:tc>
        <w:tc>
          <w:tcPr>
            <w:tcW w:w="1453"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工资</w:t>
            </w:r>
          </w:p>
        </w:tc>
        <w:tc>
          <w:tcPr>
            <w:tcW w:w="2246"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汇总</w:t>
            </w:r>
            <w:r>
              <w:rPr>
                <w:rFonts w:hint="eastAsia" w:ascii="方正仿宋_GBK" w:hAnsi="方正仿宋_GBK"/>
                <w:lang w:eastAsia="zh-CN"/>
              </w:rPr>
              <w:t>截至</w:t>
            </w:r>
            <w:r>
              <w:rPr>
                <w:rFonts w:hint="eastAsia" w:ascii="方正仿宋_GBK" w:hAnsi="方正仿宋_GBK"/>
              </w:rPr>
              <w:t>当前月份工资的年度累计值，并和去年同比；当前月份前一个月的工资，并和去年同比；联查子公司工资排名</w:t>
            </w:r>
          </w:p>
        </w:tc>
      </w:tr>
      <w:tr>
        <w:tblPrEx>
          <w:tblCellMar>
            <w:top w:w="0" w:type="dxa"/>
            <w:left w:w="108" w:type="dxa"/>
            <w:bottom w:w="0" w:type="dxa"/>
            <w:right w:w="108" w:type="dxa"/>
          </w:tblCellMar>
        </w:tblPrEx>
        <w:trPr>
          <w:trHeight w:val="454" w:hRule="atLeast"/>
        </w:trPr>
        <w:tc>
          <w:tcPr>
            <w:tcW w:w="1300"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p>
        </w:tc>
        <w:tc>
          <w:tcPr>
            <w:tcW w:w="1453"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投资构成收益</w:t>
            </w:r>
          </w:p>
        </w:tc>
        <w:tc>
          <w:tcPr>
            <w:tcW w:w="2246"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按照投资类别汇总当年的收益累计总和；联查到子公司的明细收益构成排名</w:t>
            </w:r>
          </w:p>
        </w:tc>
      </w:tr>
      <w:tr>
        <w:tblPrEx>
          <w:tblCellMar>
            <w:top w:w="0" w:type="dxa"/>
            <w:left w:w="108" w:type="dxa"/>
            <w:bottom w:w="0" w:type="dxa"/>
            <w:right w:w="108" w:type="dxa"/>
          </w:tblCellMar>
        </w:tblPrEx>
        <w:trPr>
          <w:trHeight w:val="454" w:hRule="atLeast"/>
        </w:trPr>
        <w:tc>
          <w:tcPr>
            <w:tcW w:w="1300"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p>
        </w:tc>
        <w:tc>
          <w:tcPr>
            <w:tcW w:w="1453"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投资金额分布情况</w:t>
            </w:r>
          </w:p>
        </w:tc>
        <w:tc>
          <w:tcPr>
            <w:tcW w:w="2246"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按照两大类别（金融和产业）汇总当年的投资金额总和；联查到子公司的明细收益构成排名</w:t>
            </w:r>
          </w:p>
        </w:tc>
      </w:tr>
      <w:tr>
        <w:tblPrEx>
          <w:tblCellMar>
            <w:top w:w="0" w:type="dxa"/>
            <w:left w:w="108" w:type="dxa"/>
            <w:bottom w:w="0" w:type="dxa"/>
            <w:right w:w="108" w:type="dxa"/>
          </w:tblCellMar>
        </w:tblPrEx>
        <w:trPr>
          <w:trHeight w:val="454" w:hRule="atLeast"/>
        </w:trPr>
        <w:tc>
          <w:tcPr>
            <w:tcW w:w="1300"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p>
        </w:tc>
        <w:tc>
          <w:tcPr>
            <w:tcW w:w="1453"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现金流分析</w:t>
            </w:r>
          </w:p>
        </w:tc>
        <w:tc>
          <w:tcPr>
            <w:tcW w:w="2246"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按照三大类别（筹资、经营、投资）汇总当月现金流的流入和流出金额</w:t>
            </w:r>
          </w:p>
        </w:tc>
      </w:tr>
      <w:tr>
        <w:tblPrEx>
          <w:tblCellMar>
            <w:top w:w="0" w:type="dxa"/>
            <w:left w:w="108" w:type="dxa"/>
            <w:bottom w:w="0" w:type="dxa"/>
            <w:right w:w="108" w:type="dxa"/>
          </w:tblCellMar>
        </w:tblPrEx>
        <w:trPr>
          <w:trHeight w:val="454" w:hRule="atLeast"/>
        </w:trPr>
        <w:tc>
          <w:tcPr>
            <w:tcW w:w="1300"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p>
        </w:tc>
        <w:tc>
          <w:tcPr>
            <w:tcW w:w="1453"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现金流流入分析</w:t>
            </w:r>
          </w:p>
        </w:tc>
        <w:tc>
          <w:tcPr>
            <w:tcW w:w="2246"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按照三大类别（筹资、经营、投资）汇总当月现金流的流入金额</w:t>
            </w:r>
          </w:p>
        </w:tc>
      </w:tr>
      <w:tr>
        <w:tblPrEx>
          <w:tblCellMar>
            <w:top w:w="0" w:type="dxa"/>
            <w:left w:w="108" w:type="dxa"/>
            <w:bottom w:w="0" w:type="dxa"/>
            <w:right w:w="108" w:type="dxa"/>
          </w:tblCellMar>
        </w:tblPrEx>
        <w:trPr>
          <w:trHeight w:val="454" w:hRule="atLeast"/>
        </w:trPr>
        <w:tc>
          <w:tcPr>
            <w:tcW w:w="1300"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p>
        </w:tc>
        <w:tc>
          <w:tcPr>
            <w:tcW w:w="1453"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现金流流出分析</w:t>
            </w:r>
          </w:p>
        </w:tc>
        <w:tc>
          <w:tcPr>
            <w:tcW w:w="2246"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按照三大类别（筹资、经营、投资）汇总当月现金流的流出金额</w:t>
            </w:r>
          </w:p>
        </w:tc>
      </w:tr>
      <w:tr>
        <w:tblPrEx>
          <w:tblCellMar>
            <w:top w:w="0" w:type="dxa"/>
            <w:left w:w="108" w:type="dxa"/>
            <w:bottom w:w="0" w:type="dxa"/>
            <w:right w:w="108" w:type="dxa"/>
          </w:tblCellMar>
        </w:tblPrEx>
        <w:trPr>
          <w:trHeight w:val="454" w:hRule="atLeast"/>
        </w:trPr>
        <w:tc>
          <w:tcPr>
            <w:tcW w:w="1300"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p>
        </w:tc>
        <w:tc>
          <w:tcPr>
            <w:tcW w:w="1453"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净资产</w:t>
            </w:r>
          </w:p>
        </w:tc>
        <w:tc>
          <w:tcPr>
            <w:tcW w:w="2246"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公司净资产</w:t>
            </w:r>
          </w:p>
        </w:tc>
      </w:tr>
      <w:tr>
        <w:tblPrEx>
          <w:tblCellMar>
            <w:top w:w="0" w:type="dxa"/>
            <w:left w:w="108" w:type="dxa"/>
            <w:bottom w:w="0" w:type="dxa"/>
            <w:right w:w="108" w:type="dxa"/>
          </w:tblCellMar>
        </w:tblPrEx>
        <w:trPr>
          <w:trHeight w:val="454" w:hRule="atLeast"/>
        </w:trPr>
        <w:tc>
          <w:tcPr>
            <w:tcW w:w="1300"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p>
        </w:tc>
        <w:tc>
          <w:tcPr>
            <w:tcW w:w="1453"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总负债</w:t>
            </w:r>
          </w:p>
        </w:tc>
        <w:tc>
          <w:tcPr>
            <w:tcW w:w="2246"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公司总负债</w:t>
            </w:r>
          </w:p>
        </w:tc>
      </w:tr>
      <w:tr>
        <w:tblPrEx>
          <w:tblCellMar>
            <w:top w:w="0" w:type="dxa"/>
            <w:left w:w="108" w:type="dxa"/>
            <w:bottom w:w="0" w:type="dxa"/>
            <w:right w:w="108" w:type="dxa"/>
          </w:tblCellMar>
        </w:tblPrEx>
        <w:trPr>
          <w:trHeight w:val="454" w:hRule="atLeast"/>
        </w:trPr>
        <w:tc>
          <w:tcPr>
            <w:tcW w:w="1300"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p>
        </w:tc>
        <w:tc>
          <w:tcPr>
            <w:tcW w:w="1453"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收入分析</w:t>
            </w:r>
          </w:p>
        </w:tc>
        <w:tc>
          <w:tcPr>
            <w:tcW w:w="2246"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按照三大类别（土地、投资、资产）和12个月份分别统计总收入；联查子公司某月份按收入金额的排名</w:t>
            </w:r>
          </w:p>
        </w:tc>
      </w:tr>
      <w:tr>
        <w:tblPrEx>
          <w:tblCellMar>
            <w:top w:w="0" w:type="dxa"/>
            <w:left w:w="108" w:type="dxa"/>
            <w:bottom w:w="0" w:type="dxa"/>
            <w:right w:w="108" w:type="dxa"/>
          </w:tblCellMar>
        </w:tblPrEx>
        <w:trPr>
          <w:trHeight w:val="454" w:hRule="atLeast"/>
        </w:trPr>
        <w:tc>
          <w:tcPr>
            <w:tcW w:w="1300"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p>
        </w:tc>
        <w:tc>
          <w:tcPr>
            <w:tcW w:w="1453"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利润分析</w:t>
            </w:r>
          </w:p>
        </w:tc>
        <w:tc>
          <w:tcPr>
            <w:tcW w:w="2246"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按照三大类别（土地、投资、资产）和12个月份分别统计总利润；联查子公司某月份按利润金额的排名</w:t>
            </w:r>
          </w:p>
        </w:tc>
      </w:tr>
      <w:tr>
        <w:tblPrEx>
          <w:tblCellMar>
            <w:top w:w="0" w:type="dxa"/>
            <w:left w:w="108" w:type="dxa"/>
            <w:bottom w:w="0" w:type="dxa"/>
            <w:right w:w="108" w:type="dxa"/>
          </w:tblCellMar>
        </w:tblPrEx>
        <w:trPr>
          <w:trHeight w:val="454" w:hRule="atLeast"/>
        </w:trPr>
        <w:tc>
          <w:tcPr>
            <w:tcW w:w="1300"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p>
        </w:tc>
        <w:tc>
          <w:tcPr>
            <w:tcW w:w="1453"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分红率分析</w:t>
            </w:r>
          </w:p>
        </w:tc>
        <w:tc>
          <w:tcPr>
            <w:tcW w:w="2246"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分析被投企业的投资额和分红率，按分红率降序排列，前五名红色显示，低于分红率标准的绿色显示</w:t>
            </w:r>
          </w:p>
        </w:tc>
      </w:tr>
    </w:tbl>
    <w:p>
      <w:pPr>
        <w:kinsoku/>
        <w:wordWrap/>
        <w:topLinePunct w:val="0"/>
        <w:autoSpaceDE/>
        <w:autoSpaceDN/>
        <w:bidi w:val="0"/>
        <w:spacing w:line="560" w:lineRule="exact"/>
        <w:ind w:firstLine="604"/>
        <w:rPr>
          <w:rFonts w:ascii="方正仿宋_GBK" w:hAnsi="方正仿宋_GBK"/>
          <w:snapToGrid w:val="0"/>
        </w:rPr>
      </w:pPr>
    </w:p>
    <w:p>
      <w:pPr>
        <w:pStyle w:val="8"/>
        <w:kinsoku/>
        <w:wordWrap/>
        <w:topLinePunct w:val="0"/>
        <w:autoSpaceDE/>
        <w:autoSpaceDN/>
        <w:bidi w:val="0"/>
        <w:spacing w:before="198" w:after="198" w:line="560" w:lineRule="exact"/>
      </w:pPr>
      <w:r>
        <w:rPr>
          <w:rFonts w:hint="eastAsia"/>
        </w:rPr>
        <w:t>人力资源管理领导驾驶舱</w:t>
      </w:r>
    </w:p>
    <w:p>
      <w:pPr>
        <w:keepNext/>
        <w:widowControl w:val="0"/>
        <w:numPr>
          <w:ilvl w:val="0"/>
          <w:numId w:val="18"/>
        </w:numPr>
        <w:kinsoku/>
        <w:wordWrap/>
        <w:topLinePunct w:val="0"/>
        <w:autoSpaceDE/>
        <w:autoSpaceDN/>
        <w:bidi w:val="0"/>
        <w:spacing w:before="397" w:beforeLines="100" w:line="560" w:lineRule="exact"/>
        <w:ind w:firstLineChars="0"/>
        <w:jc w:val="center"/>
        <w:textAlignment w:val="center"/>
        <w:rPr>
          <w:rFonts w:ascii="方正仿宋_GBK" w:hAnsi="方正仿宋_GBK"/>
          <w:snapToGrid w:val="0"/>
        </w:rPr>
      </w:pPr>
      <w:r>
        <w:rPr>
          <w:rFonts w:hint="eastAsia" w:ascii="方正仿宋_GBK" w:hAnsi="方正仿宋_GBK"/>
          <w:snapToGrid w:val="0"/>
        </w:rPr>
        <w:t>人力资源管理领导驾驶舱</w:t>
      </w:r>
    </w:p>
    <w:tbl>
      <w:tblPr>
        <w:tblStyle w:val="11"/>
        <w:tblW w:w="0" w:type="auto"/>
        <w:tblInd w:w="0" w:type="dxa"/>
        <w:tblLayout w:type="autofit"/>
        <w:tblCellMar>
          <w:top w:w="0" w:type="dxa"/>
          <w:left w:w="108" w:type="dxa"/>
          <w:bottom w:w="0" w:type="dxa"/>
          <w:right w:w="108" w:type="dxa"/>
        </w:tblCellMar>
      </w:tblPr>
      <w:tblGrid>
        <w:gridCol w:w="2218"/>
        <w:gridCol w:w="2460"/>
        <w:gridCol w:w="3793"/>
      </w:tblGrid>
      <w:tr>
        <w:tblPrEx>
          <w:tblCellMar>
            <w:top w:w="0" w:type="dxa"/>
            <w:left w:w="108" w:type="dxa"/>
            <w:bottom w:w="0" w:type="dxa"/>
            <w:right w:w="108" w:type="dxa"/>
          </w:tblCellMar>
        </w:tblPrEx>
        <w:trPr>
          <w:trHeight w:val="624" w:hRule="atLeast"/>
          <w:tblHeader/>
        </w:trPr>
        <w:tc>
          <w:tcPr>
            <w:tcW w:w="2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firstLine="0" w:firstLineChars="0"/>
              <w:jc w:val="center"/>
              <w:rPr>
                <w:rFonts w:ascii="方正仿宋_GBK" w:hAnsi="方正仿宋_GBK"/>
                <w:b/>
              </w:rPr>
            </w:pPr>
            <w:r>
              <w:rPr>
                <w:rFonts w:hint="eastAsia" w:ascii="方正仿宋_GBK" w:hAnsi="方正仿宋_GBK"/>
                <w:b/>
              </w:rPr>
              <w:t>一级分析主题</w:t>
            </w:r>
          </w:p>
        </w:tc>
        <w:tc>
          <w:tcPr>
            <w:tcW w:w="2460" w:type="dxa"/>
            <w:tcBorders>
              <w:top w:val="single" w:color="auto" w:sz="4" w:space="0"/>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firstLine="0" w:firstLineChars="0"/>
              <w:jc w:val="center"/>
              <w:rPr>
                <w:rFonts w:ascii="方正仿宋_GBK" w:hAnsi="方正仿宋_GBK"/>
                <w:b/>
              </w:rPr>
            </w:pPr>
            <w:r>
              <w:rPr>
                <w:rFonts w:hint="eastAsia" w:ascii="方正仿宋_GBK" w:hAnsi="方正仿宋_GBK"/>
                <w:b/>
              </w:rPr>
              <w:t>二级分析主题</w:t>
            </w:r>
          </w:p>
        </w:tc>
        <w:tc>
          <w:tcPr>
            <w:tcW w:w="3793" w:type="dxa"/>
            <w:tcBorders>
              <w:top w:val="single" w:color="auto" w:sz="4" w:space="0"/>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firstLine="0" w:firstLineChars="0"/>
              <w:jc w:val="center"/>
              <w:rPr>
                <w:rFonts w:ascii="方正仿宋_GBK" w:hAnsi="方正仿宋_GBK"/>
                <w:b/>
              </w:rPr>
            </w:pPr>
            <w:r>
              <w:rPr>
                <w:rFonts w:hint="eastAsia" w:ascii="方正仿宋_GBK" w:hAnsi="方正仿宋_GBK"/>
                <w:b/>
              </w:rPr>
              <w:t>详细分析内容</w:t>
            </w:r>
          </w:p>
        </w:tc>
      </w:tr>
      <w:tr>
        <w:tblPrEx>
          <w:tblCellMar>
            <w:top w:w="0" w:type="dxa"/>
            <w:left w:w="108" w:type="dxa"/>
            <w:bottom w:w="0" w:type="dxa"/>
            <w:right w:w="108" w:type="dxa"/>
          </w:tblCellMar>
        </w:tblPrEx>
        <w:trPr>
          <w:trHeight w:val="454" w:hRule="atLeast"/>
        </w:trPr>
        <w:tc>
          <w:tcPr>
            <w:tcW w:w="2218" w:type="dxa"/>
            <w:vMerge w:val="restart"/>
            <w:tcBorders>
              <w:top w:val="nil"/>
              <w:left w:val="single" w:color="auto" w:sz="4" w:space="0"/>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人力投资</w:t>
            </w:r>
          </w:p>
        </w:tc>
        <w:tc>
          <w:tcPr>
            <w:tcW w:w="2460"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学历结构</w:t>
            </w:r>
          </w:p>
        </w:tc>
        <w:tc>
          <w:tcPr>
            <w:tcW w:w="3793"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员工学历分布情况；可以对对应学历范围内员工详细信息进行查看；对员工详细个人信息进行查看</w:t>
            </w:r>
          </w:p>
        </w:tc>
      </w:tr>
      <w:tr>
        <w:tblPrEx>
          <w:tblCellMar>
            <w:top w:w="0" w:type="dxa"/>
            <w:left w:w="108" w:type="dxa"/>
            <w:bottom w:w="0" w:type="dxa"/>
            <w:right w:w="108" w:type="dxa"/>
          </w:tblCellMar>
        </w:tblPrEx>
        <w:trPr>
          <w:trHeight w:val="454" w:hRule="atLeast"/>
        </w:trPr>
        <w:tc>
          <w:tcPr>
            <w:tcW w:w="2218" w:type="dxa"/>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p>
        </w:tc>
        <w:tc>
          <w:tcPr>
            <w:tcW w:w="2460"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职务结构</w:t>
            </w:r>
          </w:p>
        </w:tc>
        <w:tc>
          <w:tcPr>
            <w:tcW w:w="3793"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员工职务分布情况；可以对对应职务范围内员工详细信息进行查看；对员工详细个人信息进行查看</w:t>
            </w:r>
          </w:p>
        </w:tc>
      </w:tr>
      <w:tr>
        <w:tblPrEx>
          <w:tblCellMar>
            <w:top w:w="0" w:type="dxa"/>
            <w:left w:w="108" w:type="dxa"/>
            <w:bottom w:w="0" w:type="dxa"/>
            <w:right w:w="108" w:type="dxa"/>
          </w:tblCellMar>
        </w:tblPrEx>
        <w:trPr>
          <w:trHeight w:val="454" w:hRule="atLeast"/>
        </w:trPr>
        <w:tc>
          <w:tcPr>
            <w:tcW w:w="2218" w:type="dxa"/>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p>
        </w:tc>
        <w:tc>
          <w:tcPr>
            <w:tcW w:w="2460"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年龄结构</w:t>
            </w:r>
          </w:p>
        </w:tc>
        <w:tc>
          <w:tcPr>
            <w:tcW w:w="3793"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员工年龄分布情况；可以对对应年龄范围内员工详细信息进行查看；对员工详细个人信息进行查看</w:t>
            </w:r>
          </w:p>
        </w:tc>
      </w:tr>
      <w:tr>
        <w:tblPrEx>
          <w:tblCellMar>
            <w:top w:w="0" w:type="dxa"/>
            <w:left w:w="108" w:type="dxa"/>
            <w:bottom w:w="0" w:type="dxa"/>
            <w:right w:w="108" w:type="dxa"/>
          </w:tblCellMar>
        </w:tblPrEx>
        <w:trPr>
          <w:trHeight w:val="454" w:hRule="atLeast"/>
        </w:trPr>
        <w:tc>
          <w:tcPr>
            <w:tcW w:w="2218" w:type="dxa"/>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p>
        </w:tc>
        <w:tc>
          <w:tcPr>
            <w:tcW w:w="2460"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lang w:eastAsia="zh-CN"/>
              </w:rPr>
              <w:t>司龄</w:t>
            </w:r>
            <w:r>
              <w:rPr>
                <w:rFonts w:hint="eastAsia" w:ascii="方正仿宋_GBK" w:hAnsi="方正仿宋_GBK"/>
              </w:rPr>
              <w:t>结构</w:t>
            </w:r>
          </w:p>
        </w:tc>
        <w:tc>
          <w:tcPr>
            <w:tcW w:w="3793"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员工司龄分布情况；可以对对应司龄范围内员工详细信息进行查看；对员工详细个人信息进行查看</w:t>
            </w:r>
          </w:p>
        </w:tc>
      </w:tr>
      <w:tr>
        <w:tblPrEx>
          <w:tblCellMar>
            <w:top w:w="0" w:type="dxa"/>
            <w:left w:w="108" w:type="dxa"/>
            <w:bottom w:w="0" w:type="dxa"/>
            <w:right w:w="108" w:type="dxa"/>
          </w:tblCellMar>
        </w:tblPrEx>
        <w:trPr>
          <w:trHeight w:val="454" w:hRule="atLeast"/>
        </w:trPr>
        <w:tc>
          <w:tcPr>
            <w:tcW w:w="2218" w:type="dxa"/>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p>
        </w:tc>
        <w:tc>
          <w:tcPr>
            <w:tcW w:w="2460"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组织结构</w:t>
            </w:r>
          </w:p>
        </w:tc>
        <w:tc>
          <w:tcPr>
            <w:tcW w:w="3793"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集团下属各</w:t>
            </w:r>
            <w:r>
              <w:rPr>
                <w:rFonts w:hint="eastAsia" w:ascii="方正仿宋_GBK" w:hAnsi="方正仿宋_GBK"/>
                <w:lang w:eastAsia="zh-CN"/>
              </w:rPr>
              <w:t>板块</w:t>
            </w:r>
            <w:r>
              <w:rPr>
                <w:rFonts w:hint="eastAsia" w:ascii="方正仿宋_GBK" w:hAnsi="方正仿宋_GBK"/>
              </w:rPr>
              <w:t>到子公司的人员分布情况；输入某个具体员工名字点搜索按钮，对该员工详细信息查看</w:t>
            </w:r>
          </w:p>
        </w:tc>
      </w:tr>
      <w:tr>
        <w:tblPrEx>
          <w:tblCellMar>
            <w:top w:w="0" w:type="dxa"/>
            <w:left w:w="108" w:type="dxa"/>
            <w:bottom w:w="0" w:type="dxa"/>
            <w:right w:w="108" w:type="dxa"/>
          </w:tblCellMar>
        </w:tblPrEx>
        <w:trPr>
          <w:trHeight w:val="454" w:hRule="atLeast"/>
        </w:trPr>
        <w:tc>
          <w:tcPr>
            <w:tcW w:w="2218" w:type="dxa"/>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p>
        </w:tc>
        <w:tc>
          <w:tcPr>
            <w:tcW w:w="2460"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重要干部任免</w:t>
            </w:r>
          </w:p>
        </w:tc>
        <w:tc>
          <w:tcPr>
            <w:tcW w:w="3793"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选择对应党委会，可以查看重要 干部任免情况；可查看其基本信息、学历学位、任免审批信息</w:t>
            </w:r>
          </w:p>
        </w:tc>
      </w:tr>
      <w:tr>
        <w:tblPrEx>
          <w:tblCellMar>
            <w:top w:w="0" w:type="dxa"/>
            <w:left w:w="108" w:type="dxa"/>
            <w:bottom w:w="0" w:type="dxa"/>
            <w:right w:w="108" w:type="dxa"/>
          </w:tblCellMar>
        </w:tblPrEx>
        <w:trPr>
          <w:trHeight w:val="454" w:hRule="atLeast"/>
        </w:trPr>
        <w:tc>
          <w:tcPr>
            <w:tcW w:w="2218" w:type="dxa"/>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p>
        </w:tc>
        <w:tc>
          <w:tcPr>
            <w:tcW w:w="2460"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委派人员</w:t>
            </w:r>
          </w:p>
        </w:tc>
        <w:tc>
          <w:tcPr>
            <w:tcW w:w="3793"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出资企业委派人员分布情况；查看明细</w:t>
            </w:r>
          </w:p>
        </w:tc>
      </w:tr>
      <w:tr>
        <w:tblPrEx>
          <w:tblCellMar>
            <w:top w:w="0" w:type="dxa"/>
            <w:left w:w="108" w:type="dxa"/>
            <w:bottom w:w="0" w:type="dxa"/>
            <w:right w:w="108" w:type="dxa"/>
          </w:tblCellMar>
        </w:tblPrEx>
        <w:trPr>
          <w:trHeight w:val="454" w:hRule="atLeast"/>
        </w:trPr>
        <w:tc>
          <w:tcPr>
            <w:tcW w:w="2218" w:type="dxa"/>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p>
        </w:tc>
        <w:tc>
          <w:tcPr>
            <w:tcW w:w="2460"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绩效等级</w:t>
            </w:r>
          </w:p>
        </w:tc>
        <w:tc>
          <w:tcPr>
            <w:tcW w:w="3793"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上年度集团员工的绩效考核等级分布；查看在某一个等级下各个组织板块占比情况；可以查看在此条件下具体员工信息</w:t>
            </w:r>
          </w:p>
        </w:tc>
      </w:tr>
      <w:tr>
        <w:tblPrEx>
          <w:tblCellMar>
            <w:top w:w="0" w:type="dxa"/>
            <w:left w:w="108" w:type="dxa"/>
            <w:bottom w:w="0" w:type="dxa"/>
            <w:right w:w="108" w:type="dxa"/>
          </w:tblCellMar>
        </w:tblPrEx>
        <w:trPr>
          <w:trHeight w:val="454" w:hRule="atLeast"/>
        </w:trPr>
        <w:tc>
          <w:tcPr>
            <w:tcW w:w="2218" w:type="dxa"/>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p>
        </w:tc>
        <w:tc>
          <w:tcPr>
            <w:tcW w:w="2460"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薪酬区间</w:t>
            </w:r>
          </w:p>
        </w:tc>
        <w:tc>
          <w:tcPr>
            <w:tcW w:w="3793"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上年度集团员工的绩效考核等级分布；查看在某一个等级下各个组织板块占比情况；可以查看在此条件下具体员工信息</w:t>
            </w:r>
          </w:p>
        </w:tc>
      </w:tr>
      <w:tr>
        <w:tblPrEx>
          <w:tblCellMar>
            <w:top w:w="0" w:type="dxa"/>
            <w:left w:w="108" w:type="dxa"/>
            <w:bottom w:w="0" w:type="dxa"/>
            <w:right w:w="108" w:type="dxa"/>
          </w:tblCellMar>
        </w:tblPrEx>
        <w:trPr>
          <w:trHeight w:val="454" w:hRule="atLeast"/>
        </w:trPr>
        <w:tc>
          <w:tcPr>
            <w:tcW w:w="2218" w:type="dxa"/>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p>
        </w:tc>
        <w:tc>
          <w:tcPr>
            <w:tcW w:w="2460"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薪酬总额</w:t>
            </w:r>
          </w:p>
        </w:tc>
        <w:tc>
          <w:tcPr>
            <w:tcW w:w="3793"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上年度集团员工的绩效考核等级分布；查看在某一个等级下各个组织板块占比情况；可以查看在此条件下具体员工信息</w:t>
            </w:r>
          </w:p>
        </w:tc>
      </w:tr>
      <w:tr>
        <w:tblPrEx>
          <w:tblCellMar>
            <w:top w:w="0" w:type="dxa"/>
            <w:left w:w="108" w:type="dxa"/>
            <w:bottom w:w="0" w:type="dxa"/>
            <w:right w:w="108" w:type="dxa"/>
          </w:tblCellMar>
        </w:tblPrEx>
        <w:trPr>
          <w:trHeight w:val="454" w:hRule="atLeast"/>
        </w:trPr>
        <w:tc>
          <w:tcPr>
            <w:tcW w:w="2218" w:type="dxa"/>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p>
        </w:tc>
        <w:tc>
          <w:tcPr>
            <w:tcW w:w="2460"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板块薪酬</w:t>
            </w:r>
          </w:p>
        </w:tc>
        <w:tc>
          <w:tcPr>
            <w:tcW w:w="3793"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可以查看各组织板块固定工资总额、绩效工资总额、平均工资进行对比；可查看明细</w:t>
            </w:r>
          </w:p>
        </w:tc>
      </w:tr>
      <w:tr>
        <w:tblPrEx>
          <w:tblCellMar>
            <w:top w:w="0" w:type="dxa"/>
            <w:left w:w="108" w:type="dxa"/>
            <w:bottom w:w="0" w:type="dxa"/>
            <w:right w:w="108" w:type="dxa"/>
          </w:tblCellMar>
        </w:tblPrEx>
        <w:trPr>
          <w:trHeight w:val="454" w:hRule="atLeast"/>
        </w:trPr>
        <w:tc>
          <w:tcPr>
            <w:tcW w:w="2218" w:type="dxa"/>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p>
        </w:tc>
        <w:tc>
          <w:tcPr>
            <w:tcW w:w="2460"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单位薪酬总额</w:t>
            </w:r>
          </w:p>
        </w:tc>
        <w:tc>
          <w:tcPr>
            <w:tcW w:w="3793"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可以查看各公司固定工资总额、绩效工资总额、平均工资进行对比；可查看明细</w:t>
            </w:r>
          </w:p>
        </w:tc>
      </w:tr>
      <w:tr>
        <w:tblPrEx>
          <w:tblCellMar>
            <w:top w:w="0" w:type="dxa"/>
            <w:left w:w="108" w:type="dxa"/>
            <w:bottom w:w="0" w:type="dxa"/>
            <w:right w:w="108" w:type="dxa"/>
          </w:tblCellMar>
        </w:tblPrEx>
        <w:trPr>
          <w:trHeight w:val="454" w:hRule="atLeast"/>
        </w:trPr>
        <w:tc>
          <w:tcPr>
            <w:tcW w:w="2218" w:type="dxa"/>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p>
        </w:tc>
        <w:tc>
          <w:tcPr>
            <w:tcW w:w="2460"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人员薪酬占比</w:t>
            </w:r>
          </w:p>
        </w:tc>
        <w:tc>
          <w:tcPr>
            <w:tcW w:w="3793" w:type="dxa"/>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可以查看在管理序列、业务序列、运营支撑序列、职能序列四个维度对员工工资薪酬进行分析；可查看明细</w:t>
            </w:r>
          </w:p>
        </w:tc>
      </w:tr>
    </w:tbl>
    <w:p>
      <w:pPr>
        <w:kinsoku/>
        <w:wordWrap/>
        <w:topLinePunct w:val="0"/>
        <w:autoSpaceDE/>
        <w:autoSpaceDN/>
        <w:bidi w:val="0"/>
        <w:spacing w:line="560" w:lineRule="exact"/>
        <w:ind w:firstLine="604"/>
        <w:rPr>
          <w:rFonts w:ascii="方正仿宋_GBK" w:hAnsi="方正仿宋_GBK"/>
          <w:snapToGrid w:val="0"/>
        </w:rPr>
      </w:pPr>
    </w:p>
    <w:p>
      <w:pPr>
        <w:pStyle w:val="8"/>
        <w:kinsoku/>
        <w:wordWrap/>
        <w:topLinePunct w:val="0"/>
        <w:autoSpaceDE/>
        <w:autoSpaceDN/>
        <w:bidi w:val="0"/>
        <w:spacing w:before="198" w:after="198" w:line="560" w:lineRule="exact"/>
      </w:pPr>
      <w:r>
        <w:rPr>
          <w:rFonts w:hint="eastAsia"/>
        </w:rPr>
        <w:t>风控管理领导驾驶舱</w:t>
      </w:r>
    </w:p>
    <w:p>
      <w:pPr>
        <w:keepNext/>
        <w:widowControl w:val="0"/>
        <w:numPr>
          <w:ilvl w:val="0"/>
          <w:numId w:val="18"/>
        </w:numPr>
        <w:kinsoku/>
        <w:wordWrap/>
        <w:topLinePunct w:val="0"/>
        <w:autoSpaceDE/>
        <w:autoSpaceDN/>
        <w:bidi w:val="0"/>
        <w:spacing w:before="397" w:beforeLines="100" w:line="560" w:lineRule="exact"/>
        <w:ind w:firstLineChars="0"/>
        <w:jc w:val="center"/>
        <w:textAlignment w:val="center"/>
        <w:rPr>
          <w:rFonts w:ascii="方正仿宋_GBK" w:hAnsi="方正仿宋_GBK"/>
          <w:snapToGrid w:val="0"/>
        </w:rPr>
      </w:pPr>
      <w:r>
        <w:rPr>
          <w:rFonts w:hint="eastAsia" w:ascii="方正仿宋_GBK" w:hAnsi="方正仿宋_GBK"/>
          <w:snapToGrid w:val="0"/>
        </w:rPr>
        <w:t>风控管理领导驾驶舱</w:t>
      </w:r>
    </w:p>
    <w:tbl>
      <w:tblPr>
        <w:tblStyle w:val="11"/>
        <w:tblW w:w="5000" w:type="pct"/>
        <w:tblInd w:w="0" w:type="dxa"/>
        <w:tblLayout w:type="fixed"/>
        <w:tblCellMar>
          <w:top w:w="0" w:type="dxa"/>
          <w:left w:w="108" w:type="dxa"/>
          <w:bottom w:w="0" w:type="dxa"/>
          <w:right w:w="108" w:type="dxa"/>
        </w:tblCellMar>
      </w:tblPr>
      <w:tblGrid>
        <w:gridCol w:w="2216"/>
        <w:gridCol w:w="2505"/>
        <w:gridCol w:w="3801"/>
      </w:tblGrid>
      <w:tr>
        <w:tblPrEx>
          <w:tblCellMar>
            <w:top w:w="0" w:type="dxa"/>
            <w:left w:w="108" w:type="dxa"/>
            <w:bottom w:w="0" w:type="dxa"/>
            <w:right w:w="108" w:type="dxa"/>
          </w:tblCellMar>
        </w:tblPrEx>
        <w:trPr>
          <w:trHeight w:val="624" w:hRule="atLeast"/>
          <w:tblHeader/>
        </w:trPr>
        <w:tc>
          <w:tcPr>
            <w:tcW w:w="130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b/>
              </w:rPr>
            </w:pPr>
            <w:r>
              <w:rPr>
                <w:rFonts w:hint="eastAsia" w:ascii="方正仿宋_GBK" w:hAnsi="方正仿宋_GBK"/>
                <w:b/>
              </w:rPr>
              <w:t>一级分析主题</w:t>
            </w:r>
          </w:p>
        </w:tc>
        <w:tc>
          <w:tcPr>
            <w:tcW w:w="1469" w:type="pct"/>
            <w:tcBorders>
              <w:top w:val="single" w:color="auto" w:sz="4" w:space="0"/>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b/>
              </w:rPr>
            </w:pPr>
            <w:r>
              <w:rPr>
                <w:rFonts w:hint="eastAsia" w:ascii="方正仿宋_GBK" w:hAnsi="方正仿宋_GBK"/>
                <w:b/>
              </w:rPr>
              <w:t>二级分析主题</w:t>
            </w:r>
          </w:p>
        </w:tc>
        <w:tc>
          <w:tcPr>
            <w:tcW w:w="2229" w:type="pct"/>
            <w:tcBorders>
              <w:top w:val="single" w:color="auto" w:sz="4" w:space="0"/>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b/>
              </w:rPr>
            </w:pPr>
            <w:r>
              <w:rPr>
                <w:rFonts w:hint="eastAsia" w:ascii="方正仿宋_GBK" w:hAnsi="方正仿宋_GBK"/>
                <w:b/>
              </w:rPr>
              <w:t>详细分析内容</w:t>
            </w:r>
          </w:p>
        </w:tc>
      </w:tr>
      <w:tr>
        <w:tblPrEx>
          <w:tblCellMar>
            <w:top w:w="0" w:type="dxa"/>
            <w:left w:w="108" w:type="dxa"/>
            <w:bottom w:w="0" w:type="dxa"/>
            <w:right w:w="108" w:type="dxa"/>
          </w:tblCellMar>
        </w:tblPrEx>
        <w:trPr>
          <w:trHeight w:val="454" w:hRule="atLeast"/>
        </w:trPr>
        <w:tc>
          <w:tcPr>
            <w:tcW w:w="1300" w:type="pct"/>
            <w:vMerge w:val="restart"/>
            <w:tcBorders>
              <w:top w:val="nil"/>
              <w:left w:val="single" w:color="auto" w:sz="4" w:space="0"/>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风险视图</w:t>
            </w:r>
          </w:p>
        </w:tc>
        <w:tc>
          <w:tcPr>
            <w:tcW w:w="146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风险矩阵结构</w:t>
            </w:r>
          </w:p>
        </w:tc>
        <w:tc>
          <w:tcPr>
            <w:tcW w:w="22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p>
        </w:tc>
      </w:tr>
      <w:tr>
        <w:tblPrEx>
          <w:tblCellMar>
            <w:top w:w="0" w:type="dxa"/>
            <w:left w:w="108" w:type="dxa"/>
            <w:bottom w:w="0" w:type="dxa"/>
            <w:right w:w="108" w:type="dxa"/>
          </w:tblCellMar>
        </w:tblPrEx>
        <w:trPr>
          <w:trHeight w:val="454" w:hRule="atLeast"/>
        </w:trPr>
        <w:tc>
          <w:tcPr>
            <w:tcW w:w="1300"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146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风险评估结果</w:t>
            </w:r>
          </w:p>
        </w:tc>
        <w:tc>
          <w:tcPr>
            <w:tcW w:w="22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包括风险坐标图、风险等级表和风险变化趋势图；按风险评估计划查看风险评估结果和报告；支持可选方式的风险评估结果动态比较；支持对风险评估结果及报告的直接批示</w:t>
            </w:r>
          </w:p>
        </w:tc>
      </w:tr>
      <w:tr>
        <w:tblPrEx>
          <w:tblCellMar>
            <w:top w:w="0" w:type="dxa"/>
            <w:left w:w="108" w:type="dxa"/>
            <w:bottom w:w="0" w:type="dxa"/>
            <w:right w:w="108" w:type="dxa"/>
          </w:tblCellMar>
        </w:tblPrEx>
        <w:trPr>
          <w:trHeight w:val="454" w:hRule="atLeast"/>
        </w:trPr>
        <w:tc>
          <w:tcPr>
            <w:tcW w:w="1300" w:type="pct"/>
            <w:vMerge w:val="restart"/>
            <w:tcBorders>
              <w:top w:val="nil"/>
              <w:left w:val="single" w:color="auto" w:sz="4" w:space="0"/>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控制视图</w:t>
            </w:r>
          </w:p>
        </w:tc>
        <w:tc>
          <w:tcPr>
            <w:tcW w:w="146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风险控制状态</w:t>
            </w:r>
          </w:p>
        </w:tc>
        <w:tc>
          <w:tcPr>
            <w:tcW w:w="22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支持风险控制状态按内控评价结果自动关联；支持组织和流程维度控制点信息的进一步查询；支持对流程控制点变化的趋势变化查询；支持对控制信息的直接批示</w:t>
            </w:r>
          </w:p>
        </w:tc>
      </w:tr>
      <w:tr>
        <w:tblPrEx>
          <w:tblCellMar>
            <w:top w:w="0" w:type="dxa"/>
            <w:left w:w="108" w:type="dxa"/>
            <w:bottom w:w="0" w:type="dxa"/>
            <w:right w:w="108" w:type="dxa"/>
          </w:tblCellMar>
        </w:tblPrEx>
        <w:trPr>
          <w:trHeight w:val="454" w:hRule="atLeast"/>
        </w:trPr>
        <w:tc>
          <w:tcPr>
            <w:tcW w:w="1300"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146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关键控制点数量</w:t>
            </w:r>
          </w:p>
        </w:tc>
        <w:tc>
          <w:tcPr>
            <w:tcW w:w="2229" w:type="pct"/>
            <w:tcBorders>
              <w:top w:val="nil"/>
              <w:left w:val="nil"/>
              <w:bottom w:val="single" w:color="auto" w:sz="4" w:space="0"/>
              <w:right w:val="single" w:color="auto" w:sz="4" w:space="0"/>
            </w:tcBorders>
            <w:shd w:val="clear" w:color="auto" w:fill="auto"/>
            <w:noWrap/>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按组织和流程的控制点分布</w:t>
            </w:r>
          </w:p>
        </w:tc>
      </w:tr>
      <w:tr>
        <w:tblPrEx>
          <w:tblCellMar>
            <w:top w:w="0" w:type="dxa"/>
            <w:left w:w="108" w:type="dxa"/>
            <w:bottom w:w="0" w:type="dxa"/>
            <w:right w:w="108" w:type="dxa"/>
          </w:tblCellMar>
        </w:tblPrEx>
        <w:trPr>
          <w:trHeight w:val="454" w:hRule="atLeast"/>
        </w:trPr>
        <w:tc>
          <w:tcPr>
            <w:tcW w:w="1300" w:type="pct"/>
            <w:vMerge w:val="restart"/>
            <w:tcBorders>
              <w:top w:val="nil"/>
              <w:left w:val="single" w:color="auto" w:sz="4" w:space="0"/>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缺陷视图</w:t>
            </w:r>
          </w:p>
        </w:tc>
        <w:tc>
          <w:tcPr>
            <w:tcW w:w="146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缺陷总体数量</w:t>
            </w:r>
          </w:p>
        </w:tc>
        <w:tc>
          <w:tcPr>
            <w:tcW w:w="22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能够按内控评价计划查询内控缺陷情况；支持对缺陷整改计划的进一步查询；可以对缺陷整改直接批示意见</w:t>
            </w:r>
          </w:p>
        </w:tc>
      </w:tr>
      <w:tr>
        <w:tblPrEx>
          <w:tblCellMar>
            <w:top w:w="0" w:type="dxa"/>
            <w:left w:w="108" w:type="dxa"/>
            <w:bottom w:w="0" w:type="dxa"/>
            <w:right w:w="108" w:type="dxa"/>
          </w:tblCellMar>
        </w:tblPrEx>
        <w:trPr>
          <w:trHeight w:val="454" w:hRule="atLeast"/>
        </w:trPr>
        <w:tc>
          <w:tcPr>
            <w:tcW w:w="1300"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146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缺陷分布</w:t>
            </w:r>
          </w:p>
        </w:tc>
        <w:tc>
          <w:tcPr>
            <w:tcW w:w="22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基于流程和组织的缺陷分布</w:t>
            </w:r>
          </w:p>
        </w:tc>
      </w:tr>
      <w:tr>
        <w:tblPrEx>
          <w:tblCellMar>
            <w:top w:w="0" w:type="dxa"/>
            <w:left w:w="108" w:type="dxa"/>
            <w:bottom w:w="0" w:type="dxa"/>
            <w:right w:w="108" w:type="dxa"/>
          </w:tblCellMar>
        </w:tblPrEx>
        <w:trPr>
          <w:trHeight w:val="454" w:hRule="atLeast"/>
        </w:trPr>
        <w:tc>
          <w:tcPr>
            <w:tcW w:w="1300"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146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缺陷变化趋势</w:t>
            </w:r>
          </w:p>
        </w:tc>
        <w:tc>
          <w:tcPr>
            <w:tcW w:w="22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能够按内控评价计划查询内控缺陷情况；支持对缺陷整改计划的进一步查询；可以对缺陷整改直接批示意见</w:t>
            </w:r>
          </w:p>
        </w:tc>
      </w:tr>
      <w:tr>
        <w:tblPrEx>
          <w:tblCellMar>
            <w:top w:w="0" w:type="dxa"/>
            <w:left w:w="108" w:type="dxa"/>
            <w:bottom w:w="0" w:type="dxa"/>
            <w:right w:w="108" w:type="dxa"/>
          </w:tblCellMar>
        </w:tblPrEx>
        <w:trPr>
          <w:trHeight w:val="454" w:hRule="atLeast"/>
        </w:trPr>
        <w:tc>
          <w:tcPr>
            <w:tcW w:w="1300" w:type="pct"/>
            <w:vMerge w:val="restart"/>
            <w:tcBorders>
              <w:top w:val="nil"/>
              <w:left w:val="single" w:color="auto" w:sz="4" w:space="0"/>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事件跟踪</w:t>
            </w:r>
          </w:p>
        </w:tc>
        <w:tc>
          <w:tcPr>
            <w:tcW w:w="146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最新事件报告</w:t>
            </w:r>
          </w:p>
        </w:tc>
        <w:tc>
          <w:tcPr>
            <w:tcW w:w="22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以动态条目列示事件发生列表</w:t>
            </w:r>
          </w:p>
        </w:tc>
      </w:tr>
      <w:tr>
        <w:tblPrEx>
          <w:tblCellMar>
            <w:top w:w="0" w:type="dxa"/>
            <w:left w:w="108" w:type="dxa"/>
            <w:bottom w:w="0" w:type="dxa"/>
            <w:right w:w="108" w:type="dxa"/>
          </w:tblCellMar>
        </w:tblPrEx>
        <w:trPr>
          <w:trHeight w:val="454" w:hRule="atLeast"/>
        </w:trPr>
        <w:tc>
          <w:tcPr>
            <w:tcW w:w="1300"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146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事件处理计划状态</w:t>
            </w:r>
          </w:p>
        </w:tc>
        <w:tc>
          <w:tcPr>
            <w:tcW w:w="2229" w:type="pct"/>
            <w:vMerge w:val="restart"/>
            <w:tcBorders>
              <w:top w:val="nil"/>
              <w:left w:val="single" w:color="auto" w:sz="4" w:space="0"/>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可以按时间段、发生主体维度查询事件信息</w:t>
            </w:r>
          </w:p>
        </w:tc>
      </w:tr>
      <w:tr>
        <w:tblPrEx>
          <w:tblCellMar>
            <w:top w:w="0" w:type="dxa"/>
            <w:left w:w="108" w:type="dxa"/>
            <w:bottom w:w="0" w:type="dxa"/>
            <w:right w:w="108" w:type="dxa"/>
          </w:tblCellMar>
        </w:tblPrEx>
        <w:trPr>
          <w:trHeight w:val="454" w:hRule="atLeast"/>
        </w:trPr>
        <w:tc>
          <w:tcPr>
            <w:tcW w:w="1300"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146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事件处理滚动信息</w:t>
            </w:r>
          </w:p>
        </w:tc>
        <w:tc>
          <w:tcPr>
            <w:tcW w:w="2229"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p>
        </w:tc>
      </w:tr>
      <w:tr>
        <w:tblPrEx>
          <w:tblCellMar>
            <w:top w:w="0" w:type="dxa"/>
            <w:left w:w="108" w:type="dxa"/>
            <w:bottom w:w="0" w:type="dxa"/>
            <w:right w:w="108" w:type="dxa"/>
          </w:tblCellMar>
        </w:tblPrEx>
        <w:trPr>
          <w:trHeight w:val="454" w:hRule="atLeast"/>
        </w:trPr>
        <w:tc>
          <w:tcPr>
            <w:tcW w:w="1300"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146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处理结果信息</w:t>
            </w:r>
          </w:p>
        </w:tc>
        <w:tc>
          <w:tcPr>
            <w:tcW w:w="22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可以对事件情况进行直接批示</w:t>
            </w:r>
          </w:p>
        </w:tc>
      </w:tr>
      <w:tr>
        <w:tblPrEx>
          <w:tblCellMar>
            <w:top w:w="0" w:type="dxa"/>
            <w:left w:w="108" w:type="dxa"/>
            <w:bottom w:w="0" w:type="dxa"/>
            <w:right w:w="108" w:type="dxa"/>
          </w:tblCellMar>
        </w:tblPrEx>
        <w:trPr>
          <w:trHeight w:val="454" w:hRule="atLeast"/>
        </w:trPr>
        <w:tc>
          <w:tcPr>
            <w:tcW w:w="1300" w:type="pct"/>
            <w:vMerge w:val="restart"/>
            <w:tcBorders>
              <w:top w:val="nil"/>
              <w:left w:val="single" w:color="auto" w:sz="4" w:space="0"/>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进度监控</w:t>
            </w:r>
          </w:p>
        </w:tc>
        <w:tc>
          <w:tcPr>
            <w:tcW w:w="146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年度内控工作计划</w:t>
            </w:r>
          </w:p>
        </w:tc>
        <w:tc>
          <w:tcPr>
            <w:tcW w:w="222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支持对历史内控计划的查询</w:t>
            </w:r>
          </w:p>
        </w:tc>
      </w:tr>
      <w:tr>
        <w:tblPrEx>
          <w:tblCellMar>
            <w:top w:w="0" w:type="dxa"/>
            <w:left w:w="108" w:type="dxa"/>
            <w:bottom w:w="0" w:type="dxa"/>
            <w:right w:w="108" w:type="dxa"/>
          </w:tblCellMar>
        </w:tblPrEx>
        <w:trPr>
          <w:trHeight w:val="454" w:hRule="atLeast"/>
        </w:trPr>
        <w:tc>
          <w:tcPr>
            <w:tcW w:w="1300"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146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风险评估计划</w:t>
            </w:r>
          </w:p>
        </w:tc>
        <w:tc>
          <w:tcPr>
            <w:tcW w:w="2229" w:type="pct"/>
            <w:vMerge w:val="restart"/>
            <w:tcBorders>
              <w:top w:val="nil"/>
              <w:left w:val="single" w:color="auto" w:sz="4" w:space="0"/>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对完成状态计划可直接查询计划结果和报告</w:t>
            </w:r>
          </w:p>
        </w:tc>
      </w:tr>
      <w:tr>
        <w:tblPrEx>
          <w:tblCellMar>
            <w:top w:w="0" w:type="dxa"/>
            <w:left w:w="108" w:type="dxa"/>
            <w:bottom w:w="0" w:type="dxa"/>
            <w:right w:w="108" w:type="dxa"/>
          </w:tblCellMar>
        </w:tblPrEx>
        <w:trPr>
          <w:trHeight w:val="454" w:hRule="atLeast"/>
        </w:trPr>
        <w:tc>
          <w:tcPr>
            <w:tcW w:w="1300"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146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内控自评</w:t>
            </w:r>
          </w:p>
        </w:tc>
        <w:tc>
          <w:tcPr>
            <w:tcW w:w="2229"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p>
        </w:tc>
      </w:tr>
      <w:tr>
        <w:tblPrEx>
          <w:tblCellMar>
            <w:top w:w="0" w:type="dxa"/>
            <w:left w:w="108" w:type="dxa"/>
            <w:bottom w:w="0" w:type="dxa"/>
            <w:right w:w="108" w:type="dxa"/>
          </w:tblCellMar>
        </w:tblPrEx>
        <w:trPr>
          <w:trHeight w:val="454" w:hRule="atLeast"/>
        </w:trPr>
        <w:tc>
          <w:tcPr>
            <w:tcW w:w="1300"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146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内控审计</w:t>
            </w:r>
          </w:p>
        </w:tc>
        <w:tc>
          <w:tcPr>
            <w:tcW w:w="2229"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p>
        </w:tc>
      </w:tr>
      <w:tr>
        <w:tblPrEx>
          <w:tblCellMar>
            <w:top w:w="0" w:type="dxa"/>
            <w:left w:w="108" w:type="dxa"/>
            <w:bottom w:w="0" w:type="dxa"/>
            <w:right w:w="108" w:type="dxa"/>
          </w:tblCellMar>
        </w:tblPrEx>
        <w:trPr>
          <w:trHeight w:val="454" w:hRule="atLeast"/>
        </w:trPr>
        <w:tc>
          <w:tcPr>
            <w:tcW w:w="1300"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146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计划的时间进度</w:t>
            </w:r>
          </w:p>
        </w:tc>
        <w:tc>
          <w:tcPr>
            <w:tcW w:w="2229" w:type="pct"/>
            <w:vMerge w:val="restart"/>
            <w:tcBorders>
              <w:top w:val="nil"/>
              <w:left w:val="single" w:color="auto" w:sz="4" w:space="0"/>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lang w:val="en-US" w:eastAsia="zh-CN"/>
              </w:rPr>
              <w:t>支持</w:t>
            </w:r>
            <w:r>
              <w:rPr>
                <w:rFonts w:hint="eastAsia" w:ascii="方正仿宋_GBK" w:hAnsi="方正仿宋_GBK"/>
              </w:rPr>
              <w:t>对计划实施情况的直接批示意见</w:t>
            </w:r>
          </w:p>
        </w:tc>
      </w:tr>
      <w:tr>
        <w:tblPrEx>
          <w:tblCellMar>
            <w:top w:w="0" w:type="dxa"/>
            <w:left w:w="108" w:type="dxa"/>
            <w:bottom w:w="0" w:type="dxa"/>
            <w:right w:w="108" w:type="dxa"/>
          </w:tblCellMar>
        </w:tblPrEx>
        <w:trPr>
          <w:trHeight w:val="454" w:hRule="atLeast"/>
        </w:trPr>
        <w:tc>
          <w:tcPr>
            <w:tcW w:w="1300"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146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最新计划进展状态</w:t>
            </w:r>
          </w:p>
        </w:tc>
        <w:tc>
          <w:tcPr>
            <w:tcW w:w="2229"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p>
        </w:tc>
      </w:tr>
      <w:tr>
        <w:tblPrEx>
          <w:tblCellMar>
            <w:top w:w="0" w:type="dxa"/>
            <w:left w:w="108" w:type="dxa"/>
            <w:bottom w:w="0" w:type="dxa"/>
            <w:right w:w="108" w:type="dxa"/>
          </w:tblCellMar>
        </w:tblPrEx>
        <w:trPr>
          <w:trHeight w:val="454" w:hRule="atLeast"/>
        </w:trPr>
        <w:tc>
          <w:tcPr>
            <w:tcW w:w="1300" w:type="pct"/>
            <w:tcBorders>
              <w:top w:val="nil"/>
              <w:left w:val="single" w:color="auto" w:sz="4" w:space="0"/>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综合统计</w:t>
            </w:r>
          </w:p>
        </w:tc>
        <w:tc>
          <w:tcPr>
            <w:tcW w:w="146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风险信息</w:t>
            </w:r>
          </w:p>
        </w:tc>
        <w:tc>
          <w:tcPr>
            <w:tcW w:w="2229" w:type="pct"/>
            <w:tcBorders>
              <w:top w:val="nil"/>
              <w:left w:val="single" w:color="auto" w:sz="4" w:space="0"/>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各个风险评估计划的风险和风险等级数量、控制点数量、各个内控评价计划的缺陷数量和年度事件发生数量等</w:t>
            </w:r>
          </w:p>
        </w:tc>
      </w:tr>
    </w:tbl>
    <w:p>
      <w:pPr>
        <w:kinsoku/>
        <w:wordWrap/>
        <w:topLinePunct w:val="0"/>
        <w:autoSpaceDE/>
        <w:autoSpaceDN/>
        <w:bidi w:val="0"/>
        <w:spacing w:line="560" w:lineRule="exact"/>
        <w:ind w:firstLine="604"/>
        <w:rPr>
          <w:rFonts w:ascii="方正仿宋_GBK" w:hAnsi="方正仿宋_GBK"/>
          <w:snapToGrid w:val="0"/>
        </w:rPr>
      </w:pPr>
    </w:p>
    <w:p>
      <w:pPr>
        <w:pStyle w:val="8"/>
        <w:kinsoku/>
        <w:wordWrap/>
        <w:topLinePunct w:val="0"/>
        <w:autoSpaceDE/>
        <w:autoSpaceDN/>
        <w:bidi w:val="0"/>
        <w:spacing w:before="198" w:after="198" w:line="560" w:lineRule="exact"/>
      </w:pPr>
      <w:r>
        <w:rPr>
          <w:rFonts w:hint="eastAsia"/>
        </w:rPr>
        <w:t>投资管理领导驾驶舱</w:t>
      </w:r>
    </w:p>
    <w:p>
      <w:pPr>
        <w:keepNext/>
        <w:widowControl w:val="0"/>
        <w:numPr>
          <w:ilvl w:val="0"/>
          <w:numId w:val="18"/>
        </w:numPr>
        <w:kinsoku/>
        <w:wordWrap/>
        <w:topLinePunct w:val="0"/>
        <w:autoSpaceDE/>
        <w:autoSpaceDN/>
        <w:bidi w:val="0"/>
        <w:spacing w:before="397" w:beforeLines="100" w:line="560" w:lineRule="exact"/>
        <w:ind w:firstLineChars="0"/>
        <w:jc w:val="center"/>
        <w:textAlignment w:val="center"/>
        <w:rPr>
          <w:rFonts w:ascii="方正仿宋_GBK" w:hAnsi="方正仿宋_GBK"/>
          <w:snapToGrid w:val="0"/>
        </w:rPr>
      </w:pPr>
      <w:r>
        <w:rPr>
          <w:rFonts w:hint="eastAsia" w:ascii="方正仿宋_GBK" w:hAnsi="方正仿宋_GBK"/>
          <w:snapToGrid w:val="0"/>
        </w:rPr>
        <w:t>投资管理领导驾驶舱</w:t>
      </w:r>
    </w:p>
    <w:tbl>
      <w:tblPr>
        <w:tblStyle w:val="11"/>
        <w:tblW w:w="4998" w:type="pct"/>
        <w:tblInd w:w="0" w:type="dxa"/>
        <w:tblLayout w:type="autofit"/>
        <w:tblCellMar>
          <w:top w:w="0" w:type="dxa"/>
          <w:left w:w="108" w:type="dxa"/>
          <w:bottom w:w="0" w:type="dxa"/>
          <w:right w:w="108" w:type="dxa"/>
        </w:tblCellMar>
      </w:tblPr>
      <w:tblGrid>
        <w:gridCol w:w="2363"/>
        <w:gridCol w:w="2236"/>
        <w:gridCol w:w="3920"/>
      </w:tblGrid>
      <w:tr>
        <w:tblPrEx>
          <w:tblCellMar>
            <w:top w:w="0" w:type="dxa"/>
            <w:left w:w="108" w:type="dxa"/>
            <w:bottom w:w="0" w:type="dxa"/>
            <w:right w:w="108" w:type="dxa"/>
          </w:tblCellMar>
        </w:tblPrEx>
        <w:trPr>
          <w:trHeight w:val="624" w:hRule="atLeast"/>
          <w:tblHeader/>
        </w:trPr>
        <w:tc>
          <w:tcPr>
            <w:tcW w:w="138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b/>
              </w:rPr>
            </w:pPr>
            <w:r>
              <w:rPr>
                <w:rFonts w:hint="eastAsia" w:ascii="方正仿宋_GBK" w:hAnsi="方正仿宋_GBK"/>
                <w:b/>
              </w:rPr>
              <w:t>一级分析主题</w:t>
            </w:r>
          </w:p>
        </w:tc>
        <w:tc>
          <w:tcPr>
            <w:tcW w:w="1312" w:type="pct"/>
            <w:tcBorders>
              <w:top w:val="single" w:color="auto" w:sz="4" w:space="0"/>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b/>
              </w:rPr>
            </w:pPr>
            <w:r>
              <w:rPr>
                <w:rFonts w:hint="eastAsia" w:ascii="方正仿宋_GBK" w:hAnsi="方正仿宋_GBK"/>
                <w:b/>
              </w:rPr>
              <w:t>二级分析主题</w:t>
            </w:r>
          </w:p>
        </w:tc>
        <w:tc>
          <w:tcPr>
            <w:tcW w:w="2300" w:type="pct"/>
            <w:tcBorders>
              <w:top w:val="single" w:color="auto" w:sz="4" w:space="0"/>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b/>
              </w:rPr>
            </w:pPr>
            <w:r>
              <w:rPr>
                <w:rFonts w:hint="eastAsia" w:ascii="方正仿宋_GBK" w:hAnsi="方正仿宋_GBK"/>
                <w:b/>
              </w:rPr>
              <w:t>详细分析内容</w:t>
            </w:r>
          </w:p>
        </w:tc>
      </w:tr>
      <w:tr>
        <w:tblPrEx>
          <w:tblCellMar>
            <w:top w:w="0" w:type="dxa"/>
            <w:left w:w="108" w:type="dxa"/>
            <w:bottom w:w="0" w:type="dxa"/>
            <w:right w:w="108" w:type="dxa"/>
          </w:tblCellMar>
        </w:tblPrEx>
        <w:trPr>
          <w:trHeight w:val="454" w:hRule="atLeast"/>
        </w:trPr>
        <w:tc>
          <w:tcPr>
            <w:tcW w:w="138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股权投资</w:t>
            </w:r>
          </w:p>
        </w:tc>
        <w:tc>
          <w:tcPr>
            <w:tcW w:w="1312" w:type="pct"/>
            <w:tcBorders>
              <w:top w:val="single" w:color="auto" w:sz="4" w:space="0"/>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rPr>
                <w:rFonts w:ascii="方正仿宋_GBK" w:hAnsi="方正仿宋_GBK"/>
              </w:rPr>
            </w:pPr>
            <w:r>
              <w:rPr>
                <w:rFonts w:hint="eastAsia" w:ascii="方正仿宋_GBK" w:hAnsi="方正仿宋_GBK"/>
              </w:rPr>
              <w:t>投资金额</w:t>
            </w:r>
          </w:p>
        </w:tc>
        <w:tc>
          <w:tcPr>
            <w:tcW w:w="2300" w:type="pct"/>
            <w:tcBorders>
              <w:top w:val="single" w:color="auto" w:sz="4" w:space="0"/>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对去年、今年、增长率按季度进行对比分析；查看某一个季度项目具体信息；查看某一个季度某一个项目具体信息</w:t>
            </w:r>
          </w:p>
        </w:tc>
      </w:tr>
      <w:tr>
        <w:tblPrEx>
          <w:tblCellMar>
            <w:top w:w="0" w:type="dxa"/>
            <w:left w:w="108" w:type="dxa"/>
            <w:bottom w:w="0" w:type="dxa"/>
            <w:right w:w="108" w:type="dxa"/>
          </w:tblCellMar>
        </w:tblPrEx>
        <w:trPr>
          <w:trHeight w:val="454" w:hRule="atLeast"/>
        </w:trPr>
        <w:tc>
          <w:tcPr>
            <w:tcW w:w="1387" w:type="pct"/>
            <w:vMerge w:val="continue"/>
            <w:tcBorders>
              <w:top w:val="single" w:color="auto" w:sz="4" w:space="0"/>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p>
        </w:tc>
        <w:tc>
          <w:tcPr>
            <w:tcW w:w="1312"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rPr>
                <w:rFonts w:ascii="方正仿宋_GBK" w:hAnsi="方正仿宋_GBK"/>
              </w:rPr>
            </w:pPr>
            <w:r>
              <w:rPr>
                <w:rFonts w:hint="eastAsia" w:ascii="方正仿宋_GBK" w:hAnsi="方正仿宋_GBK"/>
              </w:rPr>
              <w:t>净资产</w:t>
            </w:r>
          </w:p>
        </w:tc>
        <w:tc>
          <w:tcPr>
            <w:tcW w:w="2300"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对去年、今年、增长率按季度进行对比分析；查看明细</w:t>
            </w:r>
          </w:p>
        </w:tc>
      </w:tr>
      <w:tr>
        <w:tblPrEx>
          <w:tblCellMar>
            <w:top w:w="0" w:type="dxa"/>
            <w:left w:w="108" w:type="dxa"/>
            <w:bottom w:w="0" w:type="dxa"/>
            <w:right w:w="108" w:type="dxa"/>
          </w:tblCellMar>
        </w:tblPrEx>
        <w:trPr>
          <w:trHeight w:val="454" w:hRule="atLeast"/>
        </w:trPr>
        <w:tc>
          <w:tcPr>
            <w:tcW w:w="1387" w:type="pct"/>
            <w:vMerge w:val="continue"/>
            <w:tcBorders>
              <w:top w:val="single" w:color="auto" w:sz="4" w:space="0"/>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p>
        </w:tc>
        <w:tc>
          <w:tcPr>
            <w:tcW w:w="1312"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rPr>
                <w:rFonts w:ascii="方正仿宋_GBK" w:hAnsi="方正仿宋_GBK"/>
              </w:rPr>
            </w:pPr>
            <w:r>
              <w:rPr>
                <w:rFonts w:hint="eastAsia" w:ascii="方正仿宋_GBK" w:hAnsi="方正仿宋_GBK"/>
              </w:rPr>
              <w:t>年度分红</w:t>
            </w:r>
          </w:p>
        </w:tc>
        <w:tc>
          <w:tcPr>
            <w:tcW w:w="2300"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按照年度对分红、收益率进行对比分析；对被投资企业投资金额、分红金额、分红率进行查看；对被投资企业基本信息、股权结构、治理结构、企业动态进行查看</w:t>
            </w:r>
          </w:p>
        </w:tc>
      </w:tr>
      <w:tr>
        <w:tblPrEx>
          <w:tblCellMar>
            <w:top w:w="0" w:type="dxa"/>
            <w:left w:w="108" w:type="dxa"/>
            <w:bottom w:w="0" w:type="dxa"/>
            <w:right w:w="108" w:type="dxa"/>
          </w:tblCellMar>
        </w:tblPrEx>
        <w:trPr>
          <w:trHeight w:val="454" w:hRule="atLeast"/>
        </w:trPr>
        <w:tc>
          <w:tcPr>
            <w:tcW w:w="1387" w:type="pct"/>
            <w:vMerge w:val="continue"/>
            <w:tcBorders>
              <w:top w:val="single" w:color="auto" w:sz="4" w:space="0"/>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p>
        </w:tc>
        <w:tc>
          <w:tcPr>
            <w:tcW w:w="1312"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rPr>
                <w:rFonts w:ascii="方正仿宋_GBK" w:hAnsi="方正仿宋_GBK"/>
              </w:rPr>
            </w:pPr>
            <w:r>
              <w:rPr>
                <w:rFonts w:hint="eastAsia" w:ascii="方正仿宋_GBK" w:hAnsi="方正仿宋_GBK"/>
              </w:rPr>
              <w:t>投资收益构成</w:t>
            </w:r>
          </w:p>
        </w:tc>
        <w:tc>
          <w:tcPr>
            <w:tcW w:w="2300"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对按股权、债类、基金收益三大类对投资项目进行分析；查看投资明细；查看基本信息、详细信息和其他信息</w:t>
            </w:r>
          </w:p>
        </w:tc>
      </w:tr>
      <w:tr>
        <w:tblPrEx>
          <w:tblCellMar>
            <w:top w:w="0" w:type="dxa"/>
            <w:left w:w="108" w:type="dxa"/>
            <w:bottom w:w="0" w:type="dxa"/>
            <w:right w:w="108" w:type="dxa"/>
          </w:tblCellMar>
        </w:tblPrEx>
        <w:trPr>
          <w:trHeight w:val="454" w:hRule="atLeast"/>
        </w:trPr>
        <w:tc>
          <w:tcPr>
            <w:tcW w:w="1387" w:type="pct"/>
            <w:vMerge w:val="continue"/>
            <w:tcBorders>
              <w:top w:val="single" w:color="auto" w:sz="4" w:space="0"/>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p>
        </w:tc>
        <w:tc>
          <w:tcPr>
            <w:tcW w:w="1312"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rPr>
                <w:rFonts w:ascii="方正仿宋_GBK" w:hAnsi="方正仿宋_GBK"/>
              </w:rPr>
            </w:pPr>
            <w:r>
              <w:rPr>
                <w:rFonts w:hint="eastAsia" w:ascii="方正仿宋_GBK" w:hAnsi="方正仿宋_GBK"/>
              </w:rPr>
              <w:t>投资金额分布</w:t>
            </w:r>
          </w:p>
        </w:tc>
        <w:tc>
          <w:tcPr>
            <w:tcW w:w="2300"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按金融、房地产、融资、投资、能源、其他对当年计划、当年已投资金额进行对比分析；查看投资明细；查看基本信息、详细信息和其他信息</w:t>
            </w:r>
          </w:p>
        </w:tc>
      </w:tr>
      <w:tr>
        <w:tblPrEx>
          <w:tblCellMar>
            <w:top w:w="0" w:type="dxa"/>
            <w:left w:w="108" w:type="dxa"/>
            <w:bottom w:w="0" w:type="dxa"/>
            <w:right w:w="108" w:type="dxa"/>
          </w:tblCellMar>
        </w:tblPrEx>
        <w:trPr>
          <w:trHeight w:val="454" w:hRule="atLeast"/>
        </w:trPr>
        <w:tc>
          <w:tcPr>
            <w:tcW w:w="1387" w:type="pct"/>
            <w:vMerge w:val="continue"/>
            <w:tcBorders>
              <w:top w:val="single" w:color="auto" w:sz="4" w:space="0"/>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p>
        </w:tc>
        <w:tc>
          <w:tcPr>
            <w:tcW w:w="1312"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rPr>
                <w:rFonts w:ascii="方正仿宋_GBK" w:hAnsi="方正仿宋_GBK"/>
              </w:rPr>
            </w:pPr>
            <w:r>
              <w:rPr>
                <w:rFonts w:hint="eastAsia" w:ascii="方正仿宋_GBK" w:hAnsi="方正仿宋_GBK"/>
              </w:rPr>
              <w:t>投资经营地图</w:t>
            </w:r>
          </w:p>
        </w:tc>
        <w:tc>
          <w:tcPr>
            <w:tcW w:w="2300"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查看投资明细；查看基本信息、详细信息和其他信息</w:t>
            </w:r>
          </w:p>
        </w:tc>
      </w:tr>
      <w:tr>
        <w:tblPrEx>
          <w:tblCellMar>
            <w:top w:w="0" w:type="dxa"/>
            <w:left w:w="108" w:type="dxa"/>
            <w:bottom w:w="0" w:type="dxa"/>
            <w:right w:w="108" w:type="dxa"/>
          </w:tblCellMar>
        </w:tblPrEx>
        <w:trPr>
          <w:trHeight w:val="454" w:hRule="atLeast"/>
        </w:trPr>
        <w:tc>
          <w:tcPr>
            <w:tcW w:w="1387" w:type="pct"/>
            <w:vMerge w:val="continue"/>
            <w:tcBorders>
              <w:top w:val="single" w:color="auto" w:sz="4" w:space="0"/>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p>
        </w:tc>
        <w:tc>
          <w:tcPr>
            <w:tcW w:w="1312"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rPr>
                <w:rFonts w:ascii="方正仿宋_GBK" w:hAnsi="方正仿宋_GBK"/>
              </w:rPr>
            </w:pPr>
            <w:r>
              <w:rPr>
                <w:rFonts w:hint="eastAsia" w:ascii="方正仿宋_GBK" w:hAnsi="方正仿宋_GBK"/>
              </w:rPr>
              <w:t>投资项目</w:t>
            </w:r>
          </w:p>
        </w:tc>
        <w:tc>
          <w:tcPr>
            <w:tcW w:w="2300"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按产业类型、投资规模、是否重点项目、是否属于负面清单四个维度对归属于各个投资项目进行对比分析；查看投资明细；查看基本信息、详细信息和其他信息</w:t>
            </w:r>
          </w:p>
        </w:tc>
      </w:tr>
    </w:tbl>
    <w:p>
      <w:pPr>
        <w:kinsoku/>
        <w:wordWrap/>
        <w:topLinePunct w:val="0"/>
        <w:autoSpaceDE/>
        <w:autoSpaceDN/>
        <w:bidi w:val="0"/>
        <w:spacing w:line="560" w:lineRule="exact"/>
        <w:ind w:firstLine="604"/>
        <w:rPr>
          <w:rFonts w:ascii="方正仿宋_GBK" w:hAnsi="方正仿宋_GBK"/>
          <w:snapToGrid w:val="0"/>
        </w:rPr>
      </w:pPr>
    </w:p>
    <w:p>
      <w:pPr>
        <w:pStyle w:val="8"/>
        <w:kinsoku/>
        <w:wordWrap/>
        <w:topLinePunct w:val="0"/>
        <w:autoSpaceDE/>
        <w:autoSpaceDN/>
        <w:bidi w:val="0"/>
        <w:spacing w:before="198" w:after="198" w:line="560" w:lineRule="exact"/>
      </w:pPr>
      <w:r>
        <w:rPr>
          <w:rFonts w:hint="eastAsia"/>
        </w:rPr>
        <w:t>运营管理领导驾驶舱</w:t>
      </w:r>
    </w:p>
    <w:p>
      <w:pPr>
        <w:keepNext/>
        <w:widowControl w:val="0"/>
        <w:numPr>
          <w:ilvl w:val="0"/>
          <w:numId w:val="18"/>
        </w:numPr>
        <w:kinsoku/>
        <w:wordWrap/>
        <w:topLinePunct w:val="0"/>
        <w:autoSpaceDE/>
        <w:autoSpaceDN/>
        <w:bidi w:val="0"/>
        <w:spacing w:before="397" w:beforeLines="100" w:line="560" w:lineRule="exact"/>
        <w:ind w:firstLineChars="0"/>
        <w:jc w:val="center"/>
        <w:textAlignment w:val="center"/>
        <w:rPr>
          <w:rFonts w:ascii="方正仿宋_GBK" w:hAnsi="方正仿宋_GBK"/>
          <w:snapToGrid w:val="0"/>
        </w:rPr>
      </w:pPr>
      <w:r>
        <w:rPr>
          <w:rFonts w:hint="eastAsia" w:ascii="方正仿宋_GBK" w:hAnsi="方正仿宋_GBK"/>
          <w:snapToGrid w:val="0"/>
        </w:rPr>
        <w:t>运营管理领导驾驶舱</w:t>
      </w:r>
    </w:p>
    <w:tbl>
      <w:tblPr>
        <w:tblStyle w:val="11"/>
        <w:tblW w:w="0" w:type="auto"/>
        <w:tblInd w:w="0" w:type="dxa"/>
        <w:tblLayout w:type="autofit"/>
        <w:tblCellMar>
          <w:top w:w="0" w:type="dxa"/>
          <w:left w:w="108" w:type="dxa"/>
          <w:bottom w:w="0" w:type="dxa"/>
          <w:right w:w="108" w:type="dxa"/>
        </w:tblCellMar>
      </w:tblPr>
      <w:tblGrid>
        <w:gridCol w:w="2368"/>
        <w:gridCol w:w="2198"/>
        <w:gridCol w:w="3905"/>
      </w:tblGrid>
      <w:tr>
        <w:tblPrEx>
          <w:tblCellMar>
            <w:top w:w="0" w:type="dxa"/>
            <w:left w:w="108" w:type="dxa"/>
            <w:bottom w:w="0" w:type="dxa"/>
            <w:right w:w="108" w:type="dxa"/>
          </w:tblCellMar>
        </w:tblPrEx>
        <w:trPr>
          <w:trHeight w:val="624" w:hRule="atLeast"/>
          <w:tblHeader/>
        </w:trPr>
        <w:tc>
          <w:tcPr>
            <w:tcW w:w="2368" w:type="dxa"/>
            <w:tcBorders>
              <w:top w:val="single" w:color="auto" w:sz="4" w:space="0"/>
              <w:left w:val="single" w:color="auto" w:sz="4" w:space="0"/>
              <w:bottom w:val="single" w:color="auto" w:sz="4" w:space="0"/>
              <w:right w:val="single" w:color="auto" w:sz="4" w:space="0"/>
            </w:tcBorders>
            <w:shd w:val="clear" w:color="auto" w:fill="auto"/>
            <w:vAlign w:val="center"/>
          </w:tcPr>
          <w:p>
            <w:pPr>
              <w:kinsoku/>
              <w:wordWrap/>
              <w:topLinePunct w:val="0"/>
              <w:autoSpaceDE/>
              <w:autoSpaceDN/>
              <w:bidi w:val="0"/>
              <w:spacing w:before="99" w:beforeLines="25" w:line="560" w:lineRule="exact"/>
              <w:ind w:left="76" w:leftChars="25" w:firstLine="0" w:firstLineChars="0"/>
              <w:jc w:val="center"/>
              <w:rPr>
                <w:rFonts w:ascii="方正仿宋_GBK" w:hAnsi="方正仿宋_GBK"/>
                <w:b/>
              </w:rPr>
            </w:pPr>
            <w:r>
              <w:rPr>
                <w:rFonts w:hint="eastAsia" w:ascii="方正仿宋_GBK" w:hAnsi="方正仿宋_GBK"/>
                <w:b/>
              </w:rPr>
              <w:t>一级分析主题</w:t>
            </w:r>
          </w:p>
        </w:tc>
        <w:tc>
          <w:tcPr>
            <w:tcW w:w="2198" w:type="dxa"/>
            <w:tcBorders>
              <w:top w:val="single" w:color="auto" w:sz="4" w:space="0"/>
              <w:left w:val="nil"/>
              <w:bottom w:val="single" w:color="auto" w:sz="4" w:space="0"/>
              <w:right w:val="single" w:color="auto" w:sz="4" w:space="0"/>
            </w:tcBorders>
            <w:shd w:val="clear" w:color="auto" w:fill="auto"/>
            <w:vAlign w:val="center"/>
          </w:tcPr>
          <w:p>
            <w:pPr>
              <w:kinsoku/>
              <w:wordWrap/>
              <w:topLinePunct w:val="0"/>
              <w:autoSpaceDE/>
              <w:autoSpaceDN/>
              <w:bidi w:val="0"/>
              <w:spacing w:before="99" w:beforeLines="25" w:line="560" w:lineRule="exact"/>
              <w:ind w:left="76" w:leftChars="25" w:firstLine="0" w:firstLineChars="0"/>
              <w:jc w:val="center"/>
              <w:rPr>
                <w:rFonts w:ascii="方正仿宋_GBK" w:hAnsi="方正仿宋_GBK"/>
                <w:b/>
              </w:rPr>
            </w:pPr>
            <w:r>
              <w:rPr>
                <w:rFonts w:hint="eastAsia" w:ascii="方正仿宋_GBK" w:hAnsi="方正仿宋_GBK"/>
                <w:b/>
              </w:rPr>
              <w:t>二级分析主题</w:t>
            </w:r>
          </w:p>
        </w:tc>
        <w:tc>
          <w:tcPr>
            <w:tcW w:w="3905" w:type="dxa"/>
            <w:tcBorders>
              <w:top w:val="single" w:color="auto" w:sz="4" w:space="0"/>
              <w:left w:val="nil"/>
              <w:bottom w:val="single" w:color="auto" w:sz="4" w:space="0"/>
              <w:right w:val="single" w:color="auto" w:sz="4" w:space="0"/>
            </w:tcBorders>
            <w:shd w:val="clear" w:color="auto" w:fill="auto"/>
            <w:vAlign w:val="center"/>
          </w:tcPr>
          <w:p>
            <w:pPr>
              <w:kinsoku/>
              <w:wordWrap/>
              <w:topLinePunct w:val="0"/>
              <w:autoSpaceDE/>
              <w:autoSpaceDN/>
              <w:bidi w:val="0"/>
              <w:spacing w:before="99" w:beforeLines="25" w:line="560" w:lineRule="exact"/>
              <w:ind w:left="76" w:leftChars="25" w:firstLine="0" w:firstLineChars="0"/>
              <w:jc w:val="center"/>
              <w:rPr>
                <w:rFonts w:ascii="方正仿宋_GBK" w:hAnsi="方正仿宋_GBK"/>
                <w:b/>
              </w:rPr>
            </w:pPr>
            <w:r>
              <w:rPr>
                <w:rFonts w:hint="eastAsia" w:ascii="方正仿宋_GBK" w:hAnsi="方正仿宋_GBK"/>
                <w:b/>
              </w:rPr>
              <w:t>详细分析内容</w:t>
            </w:r>
          </w:p>
        </w:tc>
      </w:tr>
      <w:tr>
        <w:tblPrEx>
          <w:tblCellMar>
            <w:top w:w="0" w:type="dxa"/>
            <w:left w:w="108" w:type="dxa"/>
            <w:bottom w:w="0" w:type="dxa"/>
            <w:right w:w="108" w:type="dxa"/>
          </w:tblCellMar>
        </w:tblPrEx>
        <w:trPr>
          <w:trHeight w:val="454" w:hRule="atLeast"/>
        </w:trPr>
        <w:tc>
          <w:tcPr>
            <w:tcW w:w="2368" w:type="dxa"/>
            <w:vMerge w:val="restart"/>
            <w:tcBorders>
              <w:top w:val="nil"/>
              <w:left w:val="single" w:color="auto" w:sz="4" w:space="0"/>
              <w:bottom w:val="single" w:color="auto" w:sz="4" w:space="0"/>
              <w:right w:val="single" w:color="auto" w:sz="4" w:space="0"/>
            </w:tcBorders>
            <w:shd w:val="clear" w:color="auto" w:fill="auto"/>
            <w:vAlign w:val="center"/>
          </w:tcPr>
          <w:p>
            <w:pPr>
              <w:kinsoku/>
              <w:wordWrap/>
              <w:topLinePunct w:val="0"/>
              <w:autoSpaceDE/>
              <w:autoSpaceDN/>
              <w:bidi w:val="0"/>
              <w:spacing w:before="99" w:beforeLines="25" w:line="560" w:lineRule="exact"/>
              <w:ind w:left="76" w:leftChars="25" w:firstLine="0" w:firstLineChars="0"/>
              <w:jc w:val="center"/>
              <w:rPr>
                <w:rFonts w:ascii="方正仿宋_GBK" w:hAnsi="方正仿宋_GBK"/>
              </w:rPr>
            </w:pPr>
            <w:r>
              <w:rPr>
                <w:rFonts w:hint="eastAsia" w:ascii="方正仿宋_GBK" w:hAnsi="方正仿宋_GBK"/>
              </w:rPr>
              <w:t>运营管理</w:t>
            </w:r>
          </w:p>
        </w:tc>
        <w:tc>
          <w:tcPr>
            <w:tcW w:w="2198"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before="99" w:beforeLines="25" w:line="560" w:lineRule="exact"/>
              <w:ind w:left="76" w:leftChars="25" w:firstLine="0" w:firstLineChars="0"/>
              <w:rPr>
                <w:rFonts w:ascii="方正仿宋_GBK" w:hAnsi="方正仿宋_GBK"/>
              </w:rPr>
            </w:pPr>
            <w:r>
              <w:rPr>
                <w:rFonts w:hint="eastAsia" w:ascii="方正仿宋_GBK" w:hAnsi="方正仿宋_GBK"/>
              </w:rPr>
              <w:t>经营考核</w:t>
            </w:r>
          </w:p>
        </w:tc>
        <w:tc>
          <w:tcPr>
            <w:tcW w:w="3905"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before="99" w:beforeLines="25" w:line="560" w:lineRule="exact"/>
              <w:ind w:left="76" w:leftChars="25" w:firstLine="0" w:firstLineChars="0"/>
              <w:rPr>
                <w:rFonts w:ascii="方正仿宋_GBK" w:hAnsi="方正仿宋_GBK"/>
              </w:rPr>
            </w:pPr>
            <w:r>
              <w:rPr>
                <w:rFonts w:hint="eastAsia" w:ascii="方正仿宋_GBK" w:hAnsi="方正仿宋_GBK"/>
              </w:rPr>
              <w:t>各子公司考核指标的构成分析，并罗列每一项指标得分；根据考核指标，得出分值；大于季度时间所得分的为绿灯、10%以内偏差的黄灯、大于10%偏差的红灯</w:t>
            </w:r>
          </w:p>
        </w:tc>
      </w:tr>
      <w:tr>
        <w:tblPrEx>
          <w:tblCellMar>
            <w:top w:w="0" w:type="dxa"/>
            <w:left w:w="108" w:type="dxa"/>
            <w:bottom w:w="0" w:type="dxa"/>
            <w:right w:w="108" w:type="dxa"/>
          </w:tblCellMar>
        </w:tblPrEx>
        <w:trPr>
          <w:trHeight w:val="454" w:hRule="atLeast"/>
        </w:trPr>
        <w:tc>
          <w:tcPr>
            <w:tcW w:w="2368" w:type="dxa"/>
            <w:vMerge w:val="continue"/>
            <w:tcBorders>
              <w:top w:val="nil"/>
              <w:left w:val="single" w:color="auto" w:sz="4" w:space="0"/>
              <w:bottom w:val="single" w:color="auto" w:sz="4" w:space="0"/>
              <w:right w:val="single" w:color="auto" w:sz="4" w:space="0"/>
            </w:tcBorders>
            <w:vAlign w:val="center"/>
          </w:tcPr>
          <w:p>
            <w:pPr>
              <w:kinsoku/>
              <w:wordWrap/>
              <w:topLinePunct w:val="0"/>
              <w:autoSpaceDE/>
              <w:autoSpaceDN/>
              <w:bidi w:val="0"/>
              <w:spacing w:before="99" w:beforeLines="25" w:line="560" w:lineRule="exact"/>
              <w:ind w:left="76" w:leftChars="25" w:firstLine="0" w:firstLineChars="0"/>
              <w:rPr>
                <w:rFonts w:ascii="方正仿宋_GBK" w:hAnsi="方正仿宋_GBK"/>
              </w:rPr>
            </w:pPr>
          </w:p>
        </w:tc>
        <w:tc>
          <w:tcPr>
            <w:tcW w:w="2198"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before="99" w:beforeLines="25" w:line="560" w:lineRule="exact"/>
              <w:ind w:left="76" w:leftChars="25" w:firstLine="0" w:firstLineChars="0"/>
              <w:rPr>
                <w:rFonts w:ascii="方正仿宋_GBK" w:hAnsi="方正仿宋_GBK"/>
              </w:rPr>
            </w:pPr>
            <w:r>
              <w:rPr>
                <w:rFonts w:hint="eastAsia" w:ascii="方正仿宋_GBK" w:hAnsi="方正仿宋_GBK"/>
              </w:rPr>
              <w:t>营业收入</w:t>
            </w:r>
          </w:p>
        </w:tc>
        <w:tc>
          <w:tcPr>
            <w:tcW w:w="3905"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before="99" w:beforeLines="25" w:line="560" w:lineRule="exact"/>
              <w:ind w:left="76" w:leftChars="25" w:firstLine="0" w:firstLineChars="0"/>
              <w:rPr>
                <w:rFonts w:ascii="方正仿宋_GBK" w:hAnsi="方正仿宋_GBK"/>
              </w:rPr>
            </w:pPr>
            <w:r>
              <w:rPr>
                <w:rFonts w:hint="eastAsia" w:ascii="方正仿宋_GBK" w:hAnsi="方正仿宋_GBK"/>
              </w:rPr>
              <w:t>公司营业收入</w:t>
            </w:r>
          </w:p>
        </w:tc>
      </w:tr>
      <w:tr>
        <w:tblPrEx>
          <w:tblCellMar>
            <w:top w:w="0" w:type="dxa"/>
            <w:left w:w="108" w:type="dxa"/>
            <w:bottom w:w="0" w:type="dxa"/>
            <w:right w:w="108" w:type="dxa"/>
          </w:tblCellMar>
        </w:tblPrEx>
        <w:trPr>
          <w:trHeight w:val="454" w:hRule="atLeast"/>
        </w:trPr>
        <w:tc>
          <w:tcPr>
            <w:tcW w:w="2368" w:type="dxa"/>
            <w:vMerge w:val="continue"/>
            <w:tcBorders>
              <w:top w:val="nil"/>
              <w:left w:val="single" w:color="auto" w:sz="4" w:space="0"/>
              <w:bottom w:val="single" w:color="auto" w:sz="4" w:space="0"/>
              <w:right w:val="single" w:color="auto" w:sz="4" w:space="0"/>
            </w:tcBorders>
            <w:vAlign w:val="center"/>
          </w:tcPr>
          <w:p>
            <w:pPr>
              <w:kinsoku/>
              <w:wordWrap/>
              <w:topLinePunct w:val="0"/>
              <w:autoSpaceDE/>
              <w:autoSpaceDN/>
              <w:bidi w:val="0"/>
              <w:spacing w:before="99" w:beforeLines="25" w:line="560" w:lineRule="exact"/>
              <w:ind w:left="76" w:leftChars="25" w:firstLine="0" w:firstLineChars="0"/>
              <w:rPr>
                <w:rFonts w:ascii="方正仿宋_GBK" w:hAnsi="方正仿宋_GBK"/>
              </w:rPr>
            </w:pPr>
          </w:p>
        </w:tc>
        <w:tc>
          <w:tcPr>
            <w:tcW w:w="2198"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before="99" w:beforeLines="25" w:line="560" w:lineRule="exact"/>
              <w:ind w:left="76" w:leftChars="25" w:firstLine="0" w:firstLineChars="0"/>
              <w:rPr>
                <w:rFonts w:ascii="方正仿宋_GBK" w:hAnsi="方正仿宋_GBK"/>
              </w:rPr>
            </w:pPr>
            <w:r>
              <w:rPr>
                <w:rFonts w:hint="eastAsia" w:ascii="方正仿宋_GBK" w:hAnsi="方正仿宋_GBK"/>
              </w:rPr>
              <w:t>利润</w:t>
            </w:r>
          </w:p>
        </w:tc>
        <w:tc>
          <w:tcPr>
            <w:tcW w:w="3905"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before="99" w:beforeLines="25" w:line="560" w:lineRule="exact"/>
              <w:ind w:left="76" w:leftChars="25" w:firstLine="0" w:firstLineChars="0"/>
              <w:rPr>
                <w:rFonts w:ascii="方正仿宋_GBK" w:hAnsi="方正仿宋_GBK"/>
              </w:rPr>
            </w:pPr>
            <w:r>
              <w:rPr>
                <w:rFonts w:hint="eastAsia" w:ascii="方正仿宋_GBK" w:hAnsi="方正仿宋_GBK"/>
              </w:rPr>
              <w:t>公司利润</w:t>
            </w:r>
          </w:p>
        </w:tc>
      </w:tr>
      <w:tr>
        <w:tblPrEx>
          <w:tblCellMar>
            <w:top w:w="0" w:type="dxa"/>
            <w:left w:w="108" w:type="dxa"/>
            <w:bottom w:w="0" w:type="dxa"/>
            <w:right w:w="108" w:type="dxa"/>
          </w:tblCellMar>
        </w:tblPrEx>
        <w:trPr>
          <w:trHeight w:val="454" w:hRule="atLeast"/>
        </w:trPr>
        <w:tc>
          <w:tcPr>
            <w:tcW w:w="2368" w:type="dxa"/>
            <w:vMerge w:val="continue"/>
            <w:tcBorders>
              <w:top w:val="nil"/>
              <w:left w:val="single" w:color="auto" w:sz="4" w:space="0"/>
              <w:bottom w:val="single" w:color="auto" w:sz="4" w:space="0"/>
              <w:right w:val="single" w:color="auto" w:sz="4" w:space="0"/>
            </w:tcBorders>
            <w:vAlign w:val="center"/>
          </w:tcPr>
          <w:p>
            <w:pPr>
              <w:kinsoku/>
              <w:wordWrap/>
              <w:topLinePunct w:val="0"/>
              <w:autoSpaceDE/>
              <w:autoSpaceDN/>
              <w:bidi w:val="0"/>
              <w:spacing w:before="99" w:beforeLines="25" w:line="560" w:lineRule="exact"/>
              <w:ind w:left="76" w:leftChars="25" w:firstLine="0" w:firstLineChars="0"/>
              <w:rPr>
                <w:rFonts w:ascii="方正仿宋_GBK" w:hAnsi="方正仿宋_GBK"/>
              </w:rPr>
            </w:pPr>
          </w:p>
        </w:tc>
        <w:tc>
          <w:tcPr>
            <w:tcW w:w="2198"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before="99" w:beforeLines="25" w:line="560" w:lineRule="exact"/>
              <w:ind w:left="76" w:leftChars="25" w:firstLine="0" w:firstLineChars="0"/>
              <w:rPr>
                <w:rFonts w:ascii="方正仿宋_GBK" w:hAnsi="方正仿宋_GBK"/>
              </w:rPr>
            </w:pPr>
            <w:r>
              <w:rPr>
                <w:rFonts w:hint="eastAsia" w:ascii="方正仿宋_GBK" w:hAnsi="方正仿宋_GBK"/>
              </w:rPr>
              <w:t>净资产</w:t>
            </w:r>
          </w:p>
        </w:tc>
        <w:tc>
          <w:tcPr>
            <w:tcW w:w="3905"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before="99" w:beforeLines="25" w:line="560" w:lineRule="exact"/>
              <w:ind w:left="76" w:leftChars="25" w:firstLine="0" w:firstLineChars="0"/>
              <w:rPr>
                <w:rFonts w:ascii="方正仿宋_GBK" w:hAnsi="方正仿宋_GBK"/>
              </w:rPr>
            </w:pPr>
            <w:r>
              <w:rPr>
                <w:rFonts w:hint="eastAsia" w:ascii="方正仿宋_GBK" w:hAnsi="方正仿宋_GBK"/>
              </w:rPr>
              <w:t>公司净资产</w:t>
            </w:r>
          </w:p>
        </w:tc>
      </w:tr>
      <w:tr>
        <w:tblPrEx>
          <w:tblCellMar>
            <w:top w:w="0" w:type="dxa"/>
            <w:left w:w="108" w:type="dxa"/>
            <w:bottom w:w="0" w:type="dxa"/>
            <w:right w:w="108" w:type="dxa"/>
          </w:tblCellMar>
        </w:tblPrEx>
        <w:trPr>
          <w:trHeight w:val="454" w:hRule="atLeast"/>
        </w:trPr>
        <w:tc>
          <w:tcPr>
            <w:tcW w:w="2368" w:type="dxa"/>
            <w:vMerge w:val="continue"/>
            <w:tcBorders>
              <w:top w:val="nil"/>
              <w:left w:val="single" w:color="auto" w:sz="4" w:space="0"/>
              <w:bottom w:val="single" w:color="auto" w:sz="4" w:space="0"/>
              <w:right w:val="single" w:color="auto" w:sz="4" w:space="0"/>
            </w:tcBorders>
            <w:vAlign w:val="center"/>
          </w:tcPr>
          <w:p>
            <w:pPr>
              <w:kinsoku/>
              <w:wordWrap/>
              <w:topLinePunct w:val="0"/>
              <w:autoSpaceDE/>
              <w:autoSpaceDN/>
              <w:bidi w:val="0"/>
              <w:spacing w:before="99" w:beforeLines="25" w:line="560" w:lineRule="exact"/>
              <w:ind w:left="76" w:leftChars="25" w:firstLine="0" w:firstLineChars="0"/>
              <w:rPr>
                <w:rFonts w:ascii="方正仿宋_GBK" w:hAnsi="方正仿宋_GBK"/>
              </w:rPr>
            </w:pPr>
          </w:p>
        </w:tc>
        <w:tc>
          <w:tcPr>
            <w:tcW w:w="2198"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before="99" w:beforeLines="25" w:line="560" w:lineRule="exact"/>
              <w:ind w:left="76" w:leftChars="25" w:firstLine="0" w:firstLineChars="0"/>
              <w:rPr>
                <w:rFonts w:ascii="方正仿宋_GBK" w:hAnsi="方正仿宋_GBK"/>
              </w:rPr>
            </w:pPr>
            <w:r>
              <w:rPr>
                <w:rFonts w:hint="eastAsia" w:ascii="方正仿宋_GBK" w:hAnsi="方正仿宋_GBK"/>
              </w:rPr>
              <w:t>人员分布</w:t>
            </w:r>
          </w:p>
        </w:tc>
        <w:tc>
          <w:tcPr>
            <w:tcW w:w="3905"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before="99" w:beforeLines="25" w:line="560" w:lineRule="exact"/>
              <w:ind w:left="76" w:leftChars="25" w:firstLine="0" w:firstLineChars="0"/>
              <w:rPr>
                <w:rFonts w:ascii="方正仿宋_GBK" w:hAnsi="方正仿宋_GBK"/>
              </w:rPr>
            </w:pPr>
            <w:r>
              <w:rPr>
                <w:rFonts w:hint="eastAsia" w:ascii="方正仿宋_GBK" w:hAnsi="方正仿宋_GBK"/>
              </w:rPr>
              <w:t>按照职务类别统计集团人员分布占比；联查每一类别中人员的明细信息</w:t>
            </w:r>
          </w:p>
        </w:tc>
      </w:tr>
      <w:tr>
        <w:tblPrEx>
          <w:tblCellMar>
            <w:top w:w="0" w:type="dxa"/>
            <w:left w:w="108" w:type="dxa"/>
            <w:bottom w:w="0" w:type="dxa"/>
            <w:right w:w="108" w:type="dxa"/>
          </w:tblCellMar>
        </w:tblPrEx>
        <w:trPr>
          <w:trHeight w:val="454" w:hRule="atLeast"/>
        </w:trPr>
        <w:tc>
          <w:tcPr>
            <w:tcW w:w="2368" w:type="dxa"/>
            <w:vMerge w:val="continue"/>
            <w:tcBorders>
              <w:top w:val="nil"/>
              <w:left w:val="single" w:color="auto" w:sz="4" w:space="0"/>
              <w:bottom w:val="single" w:color="auto" w:sz="4" w:space="0"/>
              <w:right w:val="single" w:color="auto" w:sz="4" w:space="0"/>
            </w:tcBorders>
            <w:vAlign w:val="center"/>
          </w:tcPr>
          <w:p>
            <w:pPr>
              <w:kinsoku/>
              <w:wordWrap/>
              <w:topLinePunct w:val="0"/>
              <w:autoSpaceDE/>
              <w:autoSpaceDN/>
              <w:bidi w:val="0"/>
              <w:spacing w:before="99" w:beforeLines="25" w:line="560" w:lineRule="exact"/>
              <w:ind w:left="76" w:leftChars="25" w:firstLine="0" w:firstLineChars="0"/>
              <w:rPr>
                <w:rFonts w:ascii="方正仿宋_GBK" w:hAnsi="方正仿宋_GBK"/>
              </w:rPr>
            </w:pPr>
          </w:p>
        </w:tc>
        <w:tc>
          <w:tcPr>
            <w:tcW w:w="2198"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before="99" w:beforeLines="25" w:line="560" w:lineRule="exact"/>
              <w:ind w:left="76" w:leftChars="25" w:firstLine="0" w:firstLineChars="0"/>
              <w:rPr>
                <w:rFonts w:ascii="方正仿宋_GBK" w:hAnsi="方正仿宋_GBK"/>
              </w:rPr>
            </w:pPr>
            <w:r>
              <w:rPr>
                <w:rFonts w:hint="eastAsia" w:ascii="方正仿宋_GBK" w:hAnsi="方正仿宋_GBK"/>
              </w:rPr>
              <w:t>职级构成</w:t>
            </w:r>
          </w:p>
        </w:tc>
        <w:tc>
          <w:tcPr>
            <w:tcW w:w="3905"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before="99" w:beforeLines="25" w:line="560" w:lineRule="exact"/>
              <w:ind w:left="76" w:leftChars="25" w:firstLine="0" w:firstLineChars="0"/>
              <w:rPr>
                <w:rFonts w:ascii="方正仿宋_GBK" w:hAnsi="方正仿宋_GBK"/>
              </w:rPr>
            </w:pPr>
            <w:r>
              <w:rPr>
                <w:rFonts w:hint="eastAsia" w:ascii="方正仿宋_GBK" w:hAnsi="方正仿宋_GBK"/>
              </w:rPr>
              <w:t>联查每一类别中人员职级构成情况</w:t>
            </w:r>
          </w:p>
        </w:tc>
      </w:tr>
      <w:tr>
        <w:tblPrEx>
          <w:tblCellMar>
            <w:top w:w="0" w:type="dxa"/>
            <w:left w:w="108" w:type="dxa"/>
            <w:bottom w:w="0" w:type="dxa"/>
            <w:right w:w="108" w:type="dxa"/>
          </w:tblCellMar>
        </w:tblPrEx>
        <w:trPr>
          <w:trHeight w:val="454" w:hRule="atLeast"/>
        </w:trPr>
        <w:tc>
          <w:tcPr>
            <w:tcW w:w="2368" w:type="dxa"/>
            <w:vMerge w:val="continue"/>
            <w:tcBorders>
              <w:top w:val="nil"/>
              <w:left w:val="single" w:color="auto" w:sz="4" w:space="0"/>
              <w:bottom w:val="single" w:color="auto" w:sz="4" w:space="0"/>
              <w:right w:val="single" w:color="auto" w:sz="4" w:space="0"/>
            </w:tcBorders>
            <w:vAlign w:val="center"/>
          </w:tcPr>
          <w:p>
            <w:pPr>
              <w:kinsoku/>
              <w:wordWrap/>
              <w:topLinePunct w:val="0"/>
              <w:autoSpaceDE/>
              <w:autoSpaceDN/>
              <w:bidi w:val="0"/>
              <w:spacing w:before="99" w:beforeLines="25" w:line="560" w:lineRule="exact"/>
              <w:ind w:left="76" w:leftChars="25" w:firstLine="0" w:firstLineChars="0"/>
              <w:rPr>
                <w:rFonts w:ascii="方正仿宋_GBK" w:hAnsi="方正仿宋_GBK"/>
              </w:rPr>
            </w:pPr>
          </w:p>
        </w:tc>
        <w:tc>
          <w:tcPr>
            <w:tcW w:w="2198"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before="99" w:beforeLines="25" w:line="560" w:lineRule="exact"/>
              <w:ind w:left="76" w:leftChars="25" w:firstLine="0" w:firstLineChars="0"/>
              <w:rPr>
                <w:rFonts w:ascii="方正仿宋_GBK" w:hAnsi="方正仿宋_GBK"/>
              </w:rPr>
            </w:pPr>
            <w:r>
              <w:rPr>
                <w:rFonts w:hint="eastAsia" w:ascii="方正仿宋_GBK" w:hAnsi="方正仿宋_GBK"/>
              </w:rPr>
              <w:t>投资项目</w:t>
            </w:r>
          </w:p>
        </w:tc>
        <w:tc>
          <w:tcPr>
            <w:tcW w:w="3905" w:type="dxa"/>
            <w:tcBorders>
              <w:top w:val="nil"/>
              <w:left w:val="nil"/>
              <w:bottom w:val="single" w:color="auto" w:sz="4" w:space="0"/>
              <w:right w:val="single" w:color="auto" w:sz="4" w:space="0"/>
            </w:tcBorders>
            <w:shd w:val="clear" w:color="auto" w:fill="auto"/>
            <w:vAlign w:val="center"/>
          </w:tcPr>
          <w:p>
            <w:pPr>
              <w:kinsoku/>
              <w:wordWrap/>
              <w:topLinePunct w:val="0"/>
              <w:autoSpaceDE/>
              <w:autoSpaceDN/>
              <w:bidi w:val="0"/>
              <w:spacing w:before="99" w:beforeLines="25" w:line="560" w:lineRule="exact"/>
              <w:ind w:left="76" w:leftChars="25" w:firstLine="0" w:firstLineChars="0"/>
              <w:rPr>
                <w:rFonts w:ascii="方正仿宋_GBK" w:hAnsi="方正仿宋_GBK"/>
              </w:rPr>
            </w:pPr>
            <w:r>
              <w:rPr>
                <w:rFonts w:hint="eastAsia" w:ascii="方正仿宋_GBK" w:hAnsi="方正仿宋_GBK"/>
              </w:rPr>
              <w:t>按照不同维度形成项目构成图</w:t>
            </w:r>
          </w:p>
        </w:tc>
      </w:tr>
    </w:tbl>
    <w:p>
      <w:pPr>
        <w:kinsoku/>
        <w:wordWrap/>
        <w:topLinePunct w:val="0"/>
        <w:autoSpaceDE/>
        <w:autoSpaceDN/>
        <w:bidi w:val="0"/>
        <w:spacing w:line="560" w:lineRule="exact"/>
        <w:ind w:firstLine="604"/>
        <w:rPr>
          <w:rFonts w:ascii="方正仿宋_GBK" w:hAnsi="方正仿宋_GBK"/>
          <w:snapToGrid w:val="0"/>
        </w:rPr>
      </w:pPr>
    </w:p>
    <w:p>
      <w:pPr>
        <w:pStyle w:val="8"/>
        <w:kinsoku/>
        <w:wordWrap/>
        <w:topLinePunct w:val="0"/>
        <w:autoSpaceDE/>
        <w:autoSpaceDN/>
        <w:bidi w:val="0"/>
        <w:spacing w:before="198" w:after="198" w:line="560" w:lineRule="exact"/>
      </w:pPr>
      <w:r>
        <w:rPr>
          <w:rFonts w:hint="eastAsia"/>
        </w:rPr>
        <w:t>资产管理领导驾驶舱</w:t>
      </w:r>
    </w:p>
    <w:p>
      <w:pPr>
        <w:keepNext/>
        <w:widowControl w:val="0"/>
        <w:numPr>
          <w:ilvl w:val="0"/>
          <w:numId w:val="18"/>
        </w:numPr>
        <w:kinsoku/>
        <w:wordWrap/>
        <w:topLinePunct w:val="0"/>
        <w:autoSpaceDE/>
        <w:autoSpaceDN/>
        <w:bidi w:val="0"/>
        <w:spacing w:before="397" w:beforeLines="100" w:line="560" w:lineRule="exact"/>
        <w:ind w:firstLineChars="0"/>
        <w:jc w:val="center"/>
        <w:textAlignment w:val="center"/>
        <w:rPr>
          <w:rFonts w:ascii="方正仿宋_GBK" w:hAnsi="方正仿宋_GBK"/>
          <w:snapToGrid w:val="0"/>
        </w:rPr>
      </w:pPr>
      <w:r>
        <w:rPr>
          <w:rFonts w:hint="eastAsia" w:ascii="方正仿宋_GBK" w:hAnsi="方正仿宋_GBK"/>
          <w:snapToGrid w:val="0"/>
        </w:rPr>
        <w:t>资产管理领导驾驶舱</w:t>
      </w:r>
    </w:p>
    <w:tbl>
      <w:tblPr>
        <w:tblStyle w:val="11"/>
        <w:tblW w:w="4999" w:type="pct"/>
        <w:tblInd w:w="0" w:type="dxa"/>
        <w:tblLayout w:type="autofit"/>
        <w:tblCellMar>
          <w:top w:w="0" w:type="dxa"/>
          <w:left w:w="108" w:type="dxa"/>
          <w:bottom w:w="0" w:type="dxa"/>
          <w:right w:w="108" w:type="dxa"/>
        </w:tblCellMar>
      </w:tblPr>
      <w:tblGrid>
        <w:gridCol w:w="2279"/>
        <w:gridCol w:w="2368"/>
        <w:gridCol w:w="3873"/>
      </w:tblGrid>
      <w:tr>
        <w:tblPrEx>
          <w:tblCellMar>
            <w:top w:w="0" w:type="dxa"/>
            <w:left w:w="108" w:type="dxa"/>
            <w:bottom w:w="0" w:type="dxa"/>
            <w:right w:w="108" w:type="dxa"/>
          </w:tblCellMar>
        </w:tblPrEx>
        <w:trPr>
          <w:trHeight w:val="624" w:hRule="atLeast"/>
          <w:tblHeader/>
        </w:trPr>
        <w:tc>
          <w:tcPr>
            <w:tcW w:w="133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b/>
              </w:rPr>
            </w:pPr>
            <w:r>
              <w:rPr>
                <w:rFonts w:hint="eastAsia" w:ascii="方正仿宋_GBK" w:hAnsi="方正仿宋_GBK"/>
                <w:b/>
              </w:rPr>
              <w:t>一级分析主题</w:t>
            </w:r>
          </w:p>
        </w:tc>
        <w:tc>
          <w:tcPr>
            <w:tcW w:w="1389" w:type="pct"/>
            <w:tcBorders>
              <w:top w:val="single" w:color="auto" w:sz="4" w:space="0"/>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b/>
              </w:rPr>
            </w:pPr>
            <w:r>
              <w:rPr>
                <w:rFonts w:hint="eastAsia" w:ascii="方正仿宋_GBK" w:hAnsi="方正仿宋_GBK"/>
                <w:b/>
              </w:rPr>
              <w:t>二级分析主题</w:t>
            </w:r>
          </w:p>
        </w:tc>
        <w:tc>
          <w:tcPr>
            <w:tcW w:w="2272" w:type="pct"/>
            <w:tcBorders>
              <w:top w:val="single" w:color="auto" w:sz="4" w:space="0"/>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b/>
              </w:rPr>
            </w:pPr>
            <w:r>
              <w:rPr>
                <w:rFonts w:hint="eastAsia" w:ascii="方正仿宋_GBK" w:hAnsi="方正仿宋_GBK"/>
                <w:b/>
              </w:rPr>
              <w:t>详细分析内容</w:t>
            </w:r>
          </w:p>
        </w:tc>
      </w:tr>
      <w:tr>
        <w:tblPrEx>
          <w:tblCellMar>
            <w:top w:w="0" w:type="dxa"/>
            <w:left w:w="108" w:type="dxa"/>
            <w:bottom w:w="0" w:type="dxa"/>
            <w:right w:w="108" w:type="dxa"/>
          </w:tblCellMar>
        </w:tblPrEx>
        <w:trPr>
          <w:trHeight w:val="454" w:hRule="atLeast"/>
        </w:trPr>
        <w:tc>
          <w:tcPr>
            <w:tcW w:w="1337" w:type="pct"/>
            <w:vMerge w:val="restart"/>
            <w:tcBorders>
              <w:top w:val="nil"/>
              <w:left w:val="single" w:color="auto" w:sz="4" w:space="0"/>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r>
              <w:rPr>
                <w:rFonts w:hint="eastAsia" w:ascii="方正仿宋_GBK" w:hAnsi="方正仿宋_GBK"/>
              </w:rPr>
              <w:t>资产管理</w:t>
            </w:r>
          </w:p>
        </w:tc>
        <w:tc>
          <w:tcPr>
            <w:tcW w:w="138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基建类</w:t>
            </w:r>
          </w:p>
        </w:tc>
        <w:tc>
          <w:tcPr>
            <w:tcW w:w="2272"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汇总所有征收类项目的年度计划投资、四季度计划投资；可查看明细</w:t>
            </w:r>
          </w:p>
        </w:tc>
      </w:tr>
      <w:tr>
        <w:tblPrEx>
          <w:tblCellMar>
            <w:top w:w="0" w:type="dxa"/>
            <w:left w:w="108" w:type="dxa"/>
            <w:bottom w:w="0" w:type="dxa"/>
            <w:right w:w="108" w:type="dxa"/>
          </w:tblCellMar>
        </w:tblPrEx>
        <w:trPr>
          <w:trHeight w:val="454" w:hRule="atLeast"/>
        </w:trPr>
        <w:tc>
          <w:tcPr>
            <w:tcW w:w="1337"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138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出让类</w:t>
            </w:r>
          </w:p>
        </w:tc>
        <w:tc>
          <w:tcPr>
            <w:tcW w:w="2272"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按照四个季度每个出让类项目的计划进度和实际进度对比；可查看明细</w:t>
            </w:r>
          </w:p>
        </w:tc>
      </w:tr>
      <w:tr>
        <w:tblPrEx>
          <w:tblCellMar>
            <w:top w:w="0" w:type="dxa"/>
            <w:left w:w="108" w:type="dxa"/>
            <w:bottom w:w="0" w:type="dxa"/>
            <w:right w:w="108" w:type="dxa"/>
          </w:tblCellMar>
        </w:tblPrEx>
        <w:trPr>
          <w:trHeight w:val="454" w:hRule="atLeast"/>
        </w:trPr>
        <w:tc>
          <w:tcPr>
            <w:tcW w:w="1337"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138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房产类</w:t>
            </w:r>
          </w:p>
        </w:tc>
        <w:tc>
          <w:tcPr>
            <w:tcW w:w="2272"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针对实际资产管理总面积、现有经营面积、收入情况进行数据展示</w:t>
            </w:r>
          </w:p>
        </w:tc>
      </w:tr>
      <w:tr>
        <w:tblPrEx>
          <w:tblCellMar>
            <w:top w:w="0" w:type="dxa"/>
            <w:left w:w="108" w:type="dxa"/>
            <w:bottom w:w="0" w:type="dxa"/>
            <w:right w:w="108" w:type="dxa"/>
          </w:tblCellMar>
        </w:tblPrEx>
        <w:trPr>
          <w:trHeight w:val="454" w:hRule="atLeast"/>
        </w:trPr>
        <w:tc>
          <w:tcPr>
            <w:tcW w:w="1337" w:type="pct"/>
            <w:vMerge w:val="continue"/>
            <w:tcBorders>
              <w:top w:val="nil"/>
              <w:left w:val="single" w:color="auto" w:sz="4" w:space="0"/>
              <w:bottom w:val="single" w:color="auto" w:sz="4" w:space="0"/>
              <w:right w:val="single" w:color="auto" w:sz="4" w:space="0"/>
            </w:tcBorders>
            <w:vAlign w:val="center"/>
          </w:tcPr>
          <w:p>
            <w:pPr>
              <w:widowControl w:val="0"/>
              <w:kinsoku/>
              <w:wordWrap/>
              <w:topLinePunct w:val="0"/>
              <w:autoSpaceDE/>
              <w:autoSpaceDN/>
              <w:bidi w:val="0"/>
              <w:adjustRightInd/>
              <w:snapToGrid/>
              <w:spacing w:line="560" w:lineRule="exact"/>
              <w:ind w:left="76" w:leftChars="25" w:right="76" w:rightChars="25" w:firstLine="0" w:firstLineChars="0"/>
              <w:jc w:val="center"/>
              <w:rPr>
                <w:rFonts w:ascii="方正仿宋_GBK" w:hAnsi="方正仿宋_GBK"/>
              </w:rPr>
            </w:pPr>
          </w:p>
        </w:tc>
        <w:tc>
          <w:tcPr>
            <w:tcW w:w="1389"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土地管理</w:t>
            </w:r>
          </w:p>
        </w:tc>
        <w:tc>
          <w:tcPr>
            <w:tcW w:w="2272" w:type="pct"/>
            <w:tcBorders>
              <w:top w:val="nil"/>
              <w:left w:val="nil"/>
              <w:bottom w:val="single" w:color="auto" w:sz="4" w:space="0"/>
              <w:right w:val="single" w:color="auto" w:sz="4" w:space="0"/>
            </w:tcBorders>
            <w:shd w:val="clear" w:color="auto" w:fill="auto"/>
            <w:vAlign w:val="center"/>
          </w:tcPr>
          <w:p>
            <w:pPr>
              <w:widowControl w:val="0"/>
              <w:kinsoku/>
              <w:wordWrap/>
              <w:topLinePunct w:val="0"/>
              <w:autoSpaceDE/>
              <w:autoSpaceDN/>
              <w:bidi w:val="0"/>
              <w:adjustRightInd/>
              <w:snapToGrid/>
              <w:spacing w:line="560" w:lineRule="exact"/>
              <w:ind w:left="76" w:leftChars="25" w:right="76" w:rightChars="25" w:firstLine="0" w:firstLineChars="0"/>
              <w:jc w:val="both"/>
              <w:rPr>
                <w:rFonts w:ascii="方正仿宋_GBK" w:hAnsi="方正仿宋_GBK"/>
              </w:rPr>
            </w:pPr>
            <w:r>
              <w:rPr>
                <w:rFonts w:hint="eastAsia" w:ascii="方正仿宋_GBK" w:hAnsi="方正仿宋_GBK"/>
              </w:rPr>
              <w:t>针对实际管理宗地数、总面积、现有经营宗地数、总面积、总收入进行数据展示</w:t>
            </w:r>
          </w:p>
        </w:tc>
      </w:tr>
    </w:tbl>
    <w:p>
      <w:pPr>
        <w:kinsoku/>
        <w:wordWrap/>
        <w:topLinePunct w:val="0"/>
        <w:autoSpaceDE/>
        <w:autoSpaceDN/>
        <w:bidi w:val="0"/>
        <w:spacing w:line="560" w:lineRule="exact"/>
        <w:ind w:firstLine="604"/>
        <w:rPr>
          <w:rFonts w:ascii="方正仿宋_GBK" w:hAnsi="方正仿宋_GBK"/>
          <w:snapToGrid w:val="0"/>
        </w:rPr>
      </w:pPr>
    </w:p>
    <w:p>
      <w:pPr>
        <w:pStyle w:val="6"/>
        <w:kinsoku/>
        <w:wordWrap/>
        <w:topLinePunct w:val="0"/>
        <w:autoSpaceDE/>
        <w:autoSpaceDN/>
        <w:bidi w:val="0"/>
        <w:spacing w:before="198" w:after="198" w:line="560" w:lineRule="exact"/>
      </w:pPr>
      <w:bookmarkStart w:id="178" w:name="_Toc11132"/>
      <w:bookmarkStart w:id="179" w:name="_Toc24431"/>
      <w:bookmarkStart w:id="180" w:name="_Toc13543"/>
      <w:r>
        <w:rPr>
          <w:rFonts w:hint="eastAsia"/>
        </w:rPr>
        <w:t>数智化经营管理</w:t>
      </w:r>
      <w:bookmarkEnd w:id="177"/>
      <w:bookmarkEnd w:id="178"/>
      <w:bookmarkEnd w:id="179"/>
      <w:bookmarkEnd w:id="180"/>
    </w:p>
    <w:p>
      <w:pPr>
        <w:pStyle w:val="7"/>
        <w:kinsoku/>
        <w:wordWrap/>
        <w:topLinePunct w:val="0"/>
        <w:autoSpaceDE/>
        <w:autoSpaceDN/>
        <w:bidi w:val="0"/>
        <w:spacing w:before="198" w:after="198" w:line="560" w:lineRule="exact"/>
        <w:rPr>
          <w:rFonts w:hint="default"/>
        </w:rPr>
      </w:pPr>
      <w:r>
        <w:t>运营管理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包括总部部门、所出资企业业务计划管理（含经营指标和重要事项）、大宗物资采购管理、经济运行分析管理、</w:t>
      </w:r>
      <w:r>
        <w:rPr>
          <w:rFonts w:hint="eastAsia" w:ascii="方正仿宋_GBK" w:hAnsi="方正仿宋_GBK"/>
          <w:snapToGrid w:val="0"/>
          <w:lang w:val="en-US" w:eastAsia="zh-CN"/>
        </w:rPr>
        <w:t>运营</w:t>
      </w:r>
      <w:r>
        <w:rPr>
          <w:rFonts w:hint="eastAsia" w:ascii="方正仿宋_GBK" w:hAnsi="方正仿宋_GBK"/>
          <w:snapToGrid w:val="0"/>
        </w:rPr>
        <w:t>考核管理。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系统根据需要了解到的经营管理信息设计、制定和下发到下属企业，并根据不同的表单提供相关信息反馈意见和处理意见跟踪，监督整改结果进行闭环管理，最终纳入到相关对标考核。</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可根据系统中的表单进行统计和汇总分析报表，方便员工对相关信息上报和执行过程的跟踪。</w:t>
      </w:r>
    </w:p>
    <w:p>
      <w:pPr>
        <w:pStyle w:val="8"/>
        <w:kinsoku/>
        <w:wordWrap/>
        <w:topLinePunct w:val="0"/>
        <w:autoSpaceDE/>
        <w:autoSpaceDN/>
        <w:bidi w:val="0"/>
        <w:spacing w:before="198" w:after="198" w:line="560" w:lineRule="exact"/>
      </w:pPr>
      <w:r>
        <w:rPr>
          <w:rFonts w:hint="eastAsia"/>
        </w:rPr>
        <w:t>业务计划管理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1.计划编制与审核</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计划编制适合集团级、分子企业级、部门级、项目/团队级长期计划等，从高阶计划层层分解；编制完毕后需要审批完成才能保证计划的可实行性，可根据农投集团管理模式，从实际管理需求出发，确定申报或导入计划方式，达成计划的编制，并通过系统审核确认固定后纳入计划信息底表。</w:t>
      </w:r>
    </w:p>
    <w:p>
      <w:pPr>
        <w:numPr>
          <w:ilvl w:val="0"/>
          <w:numId w:val="29"/>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业务逻辑</w:t>
      </w:r>
    </w:p>
    <w:p>
      <w:pPr>
        <w:kinsoku/>
        <w:wordWrap/>
        <w:topLinePunct w:val="0"/>
        <w:autoSpaceDE/>
        <w:autoSpaceDN/>
        <w:bidi w:val="0"/>
        <w:spacing w:line="560" w:lineRule="exact"/>
        <w:ind w:firstLine="0" w:firstLineChars="0"/>
        <w:jc w:val="center"/>
        <w:rPr>
          <w:rFonts w:ascii="方正仿宋_GBK" w:hAnsi="方正仿宋_GBK"/>
          <w:snapToGrid w:val="0"/>
        </w:rPr>
      </w:pPr>
      <w:r>
        <w:rPr>
          <w:rFonts w:hint="eastAsia" w:ascii="方正仿宋_GBK" w:hAnsi="方正仿宋_GBK"/>
          <w:snapToGrid w:val="0"/>
        </w:rPr>
        <w:drawing>
          <wp:inline distT="0" distB="0" distL="0" distR="0">
            <wp:extent cx="5274310" cy="2068195"/>
            <wp:effectExtent l="0" t="0" r="254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5274310" cy="2068195"/>
                    </a:xfrm>
                    <a:prstGeom prst="rect">
                      <a:avLst/>
                    </a:prstGeom>
                  </pic:spPr>
                </pic:pic>
              </a:graphicData>
            </a:graphic>
          </wp:inline>
        </w:drawing>
      </w:r>
    </w:p>
    <w:p>
      <w:pPr>
        <w:numPr>
          <w:ilvl w:val="0"/>
          <w:numId w:val="10"/>
        </w:numPr>
        <w:tabs>
          <w:tab w:val="left" w:pos="0"/>
        </w:tabs>
        <w:kinsoku/>
        <w:wordWrap/>
        <w:topLinePunct w:val="0"/>
        <w:autoSpaceDE/>
        <w:autoSpaceDN/>
        <w:bidi w:val="0"/>
        <w:spacing w:before="198" w:beforeLines="50" w:after="397" w:afterLines="100" w:line="560" w:lineRule="exact"/>
        <w:ind w:firstLineChars="0"/>
        <w:jc w:val="center"/>
        <w:rPr>
          <w:rFonts w:ascii="方正仿宋_GBK" w:hAnsi="方正仿宋_GBK"/>
          <w:snapToGrid w:val="0"/>
          <w:spacing w:val="0"/>
        </w:rPr>
      </w:pPr>
      <w:r>
        <w:rPr>
          <w:rFonts w:hint="eastAsia" w:ascii="方正仿宋_GBK" w:hAnsi="方正仿宋_GBK"/>
          <w:snapToGrid w:val="0"/>
          <w:spacing w:val="0"/>
        </w:rPr>
        <w:t xml:space="preserve"> 业务逻辑图</w:t>
      </w:r>
    </w:p>
    <w:p>
      <w:pPr>
        <w:numPr>
          <w:ilvl w:val="0"/>
          <w:numId w:val="29"/>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功能介绍</w:t>
      </w:r>
    </w:p>
    <w:p>
      <w:pPr>
        <w:numPr>
          <w:ilvl w:val="0"/>
          <w:numId w:val="30"/>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计划分类</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（a）企业级年度计划：企业整体年度经营计划，来源于企业级经营目标及各个部门级项目年度计划的汇总。</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（b）部门级年度计划：各个部门长期计划，来源于企业年度计划的拆分。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（c）项目/团队计划：各个项目周期计划，来源于企业年度计划的拆分。</w:t>
      </w:r>
    </w:p>
    <w:p>
      <w:pPr>
        <w:numPr>
          <w:ilvl w:val="0"/>
          <w:numId w:val="30"/>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计划分解</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年度计划来自于各项目计划和部门计划，汇编成年度计划后，又根据落地情况分解成项目计划和部门计划，也是自下而上汇总制定计划目标，自上而下分解计划目标，促进达成目标。</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本期计划管理系统不涉及年度计划的管理，而是通过线下编制年度目标计划，通过线上项目计划和部门计划管理双向结合方式落地。</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根据计划分解情况，按照农投集团计划监督考核周期设置计划模板，支持按照任何周期方式进行分解。</w:t>
      </w:r>
    </w:p>
    <w:p>
      <w:pPr>
        <w:numPr>
          <w:ilvl w:val="0"/>
          <w:numId w:val="30"/>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计划分级</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根据农投集团的计划管理需要，系统支持根据计划管理重要程度进行分级，基于项目计划的主项计划和专项计划、部门计划的核心工作和常态工作进行线下分级设置，通过计划分类分解后定义分级的级别。</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系统支持通过定义节点计划的方式确定分级标准，比如按照里程碑节点-关键节点-管控节点的方式，或者按照数字分级标准I-II-III方式进行划分。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系统可根据不同节点的重要区分设置条件分支，基于农投集团的权责进行流程匹配，比如里程碑节点的最后审批流程由总裁、董事长等进行审批确认。</w:t>
      </w:r>
    </w:p>
    <w:p>
      <w:pPr>
        <w:numPr>
          <w:ilvl w:val="0"/>
          <w:numId w:val="30"/>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计划格式模板</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计划格式模板的目的在于统一计划管辖部门填写的计划格式，方便员工填报计划时直接调用。计划模板可以按照农投集团实际要求和维度进行定义设计；支持不同的部门计划模板个性化定制，针对不同的模板可以设计不同的计划流程。</w:t>
      </w:r>
    </w:p>
    <w:p>
      <w:pPr>
        <w:numPr>
          <w:ilvl w:val="0"/>
          <w:numId w:val="30"/>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计划任务导入</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系统支持计划任务直接导入（Excel文件），支持批量导入同时也支持计划任务模板下载（Excel文件）。</w:t>
      </w:r>
    </w:p>
    <w:p>
      <w:pPr>
        <w:numPr>
          <w:ilvl w:val="0"/>
          <w:numId w:val="30"/>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计划任务审批</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计划的信息全部按照预置的台账模板编制后，计划进入确认审批环节，确认完成后，每个计划任务都生成其执行计划的开始、完成日期，包括各个部门所承担的项目计划和部门职能计划，相关责任人将收到告知消息。</w:t>
      </w:r>
    </w:p>
    <w:p>
      <w:pPr>
        <w:numPr>
          <w:ilvl w:val="0"/>
          <w:numId w:val="30"/>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计划任务汇总与拆分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系统支持计划按照一定维度例如时间、计划内容分类自动汇总成总计划。计划也可以按照一定条件进行手动、自动拆分，具体根据贵集团需求实施。</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2.计划发起与执行</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计划发起适合个人或部门周、月计划，用于对长期计划任务的重要事项、日常事项、临时事项的落地执行；具体计划周期根据贵集团需求定制。</w:t>
      </w:r>
    </w:p>
    <w:p>
      <w:pPr>
        <w:numPr>
          <w:ilvl w:val="0"/>
          <w:numId w:val="31"/>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业务逻辑</w:t>
      </w:r>
    </w:p>
    <w:p>
      <w:pPr>
        <w:kinsoku/>
        <w:wordWrap/>
        <w:topLinePunct w:val="0"/>
        <w:autoSpaceDE/>
        <w:autoSpaceDN/>
        <w:bidi w:val="0"/>
        <w:spacing w:line="560" w:lineRule="exact"/>
        <w:ind w:firstLine="0" w:firstLineChars="0"/>
        <w:jc w:val="center"/>
        <w:rPr>
          <w:rFonts w:ascii="方正仿宋_GBK" w:hAnsi="方正仿宋_GBK"/>
          <w:snapToGrid w:val="0"/>
        </w:rPr>
      </w:pPr>
      <w:r>
        <w:rPr>
          <w:rFonts w:hint="eastAsia" w:ascii="方正仿宋_GBK" w:hAnsi="方正仿宋_GBK"/>
          <w:snapToGrid w:val="0"/>
        </w:rPr>
        <w:drawing>
          <wp:inline distT="0" distB="0" distL="0" distR="0">
            <wp:extent cx="5274310" cy="280098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1"/>
                    <a:stretch>
                      <a:fillRect/>
                    </a:stretch>
                  </pic:blipFill>
                  <pic:spPr>
                    <a:xfrm>
                      <a:off x="0" y="0"/>
                      <a:ext cx="5274310" cy="2800985"/>
                    </a:xfrm>
                    <a:prstGeom prst="rect">
                      <a:avLst/>
                    </a:prstGeom>
                  </pic:spPr>
                </pic:pic>
              </a:graphicData>
            </a:graphic>
          </wp:inline>
        </w:drawing>
      </w:r>
    </w:p>
    <w:p>
      <w:pPr>
        <w:numPr>
          <w:ilvl w:val="0"/>
          <w:numId w:val="10"/>
        </w:numPr>
        <w:tabs>
          <w:tab w:val="left" w:pos="0"/>
        </w:tabs>
        <w:kinsoku/>
        <w:wordWrap/>
        <w:topLinePunct w:val="0"/>
        <w:autoSpaceDE/>
        <w:autoSpaceDN/>
        <w:bidi w:val="0"/>
        <w:spacing w:before="198" w:beforeLines="50" w:after="397" w:afterLines="100" w:line="560" w:lineRule="exact"/>
        <w:ind w:firstLineChars="0"/>
        <w:jc w:val="center"/>
        <w:rPr>
          <w:rFonts w:ascii="方正仿宋_GBK" w:hAnsi="方正仿宋_GBK"/>
          <w:snapToGrid w:val="0"/>
          <w:spacing w:val="0"/>
        </w:rPr>
      </w:pPr>
      <w:r>
        <w:rPr>
          <w:rFonts w:hint="eastAsia" w:ascii="方正仿宋_GBK" w:hAnsi="方正仿宋_GBK"/>
          <w:snapToGrid w:val="0"/>
          <w:spacing w:val="0"/>
        </w:rPr>
        <w:t>业务逻辑图</w:t>
      </w:r>
    </w:p>
    <w:p>
      <w:pPr>
        <w:numPr>
          <w:ilvl w:val="0"/>
          <w:numId w:val="31"/>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功能介绍</w:t>
      </w:r>
    </w:p>
    <w:p>
      <w:pPr>
        <w:numPr>
          <w:ilvl w:val="0"/>
          <w:numId w:val="32"/>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计划内容</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计划任务按照其内容进行分类，可划分未完成计划、项目类计划、部门配合类、日常要事类及临时性计划等。</w:t>
      </w:r>
    </w:p>
    <w:p>
      <w:pPr>
        <w:numPr>
          <w:ilvl w:val="0"/>
          <w:numId w:val="32"/>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计划发起</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计划发起人发起计划时可先行申报或导入项目计划，调用预先设置好的计划格式模板，计划发起人只用填写相关的字段项即可。</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以项目核心运营计划为主轴，通过发起或导入项目任务计划审批单，确定审批通过后，以部门为要素，系统可通过配置自动生成部门项目任务计划表，再根据部门涉及的项目计划导入部门月度计划中，确保项目计划与部门计划交叉部门通过计划管理系统解决，未完成计划自动触发关联，再在月度计划中填写其他几类常态职能计划，满足日常工作需要。</w:t>
      </w:r>
    </w:p>
    <w:p>
      <w:pPr>
        <w:numPr>
          <w:ilvl w:val="0"/>
          <w:numId w:val="32"/>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关联部门/项目</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发起计划时，如果计划涉及多个部门，可以选择关联部门，将多个部门通过计划为单位进行横向组织，从而确保整体计划的顺利实施。</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而如果是</w:t>
      </w:r>
      <w:r>
        <w:rPr>
          <w:rFonts w:hint="eastAsia" w:ascii="方正仿宋_GBK" w:hAnsi="方正仿宋_GBK"/>
          <w:snapToGrid w:val="0"/>
          <w:lang w:eastAsia="zh-CN"/>
        </w:rPr>
        <w:t>针对</w:t>
      </w:r>
      <w:r>
        <w:rPr>
          <w:rFonts w:hint="eastAsia" w:ascii="方正仿宋_GBK" w:hAnsi="方正仿宋_GBK"/>
          <w:snapToGrid w:val="0"/>
        </w:rPr>
        <w:t>特定项目的分项计划，则可以选择关联项目将不同的计划以项目为单位进行组织。最终通过项目为入口查询其整体计划与分工。</w:t>
      </w:r>
    </w:p>
    <w:p>
      <w:pPr>
        <w:numPr>
          <w:ilvl w:val="0"/>
          <w:numId w:val="32"/>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附件上传</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填报计划除了支持调用计划格式，正文输入，亦可支持工作计划作为附件上传，或关联平台中的</w:t>
      </w:r>
      <w:r>
        <w:rPr>
          <w:rFonts w:hint="eastAsia" w:ascii="方正仿宋_GBK" w:hAnsi="方正仿宋_GBK"/>
          <w:snapToGrid w:val="0"/>
          <w:lang w:eastAsia="zh-CN"/>
        </w:rPr>
        <w:t>其他</w:t>
      </w:r>
      <w:r>
        <w:rPr>
          <w:rFonts w:hint="eastAsia" w:ascii="方正仿宋_GBK" w:hAnsi="方正仿宋_GBK"/>
          <w:snapToGrid w:val="0"/>
        </w:rPr>
        <w:t>文件。</w:t>
      </w:r>
    </w:p>
    <w:p>
      <w:pPr>
        <w:numPr>
          <w:ilvl w:val="0"/>
          <w:numId w:val="32"/>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计划复制</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为了方便进行计划编辑，发起者可复制已提交工作计划，在其基础上进行修改即可。</w:t>
      </w:r>
    </w:p>
    <w:p>
      <w:pPr>
        <w:numPr>
          <w:ilvl w:val="0"/>
          <w:numId w:val="32"/>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计划提取（拆分/ 汇总）</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部门级计划按照一定维度例如时间、计划内容分类自动汇总成总计划。计划也可以按照一定条件进行手动、自动拆分。</w:t>
      </w:r>
    </w:p>
    <w:p>
      <w:pPr>
        <w:numPr>
          <w:ilvl w:val="0"/>
          <w:numId w:val="32"/>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计划提醒与预警</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针对计划内容，系统支持应用协同办公平台的消息提醒功能进行提醒。提醒包含PC消息提醒，APP消息提醒、微信提醒。支持对周期性计划设置预警值，计划的执行情况进行预警提醒，超期预警，并通过可视化界面进行配置展现。</w:t>
      </w:r>
    </w:p>
    <w:p>
      <w:pPr>
        <w:numPr>
          <w:ilvl w:val="0"/>
          <w:numId w:val="32"/>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计划修改与陈述</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提交发起后，由管理部门或部门分管领导审阅（视操作设置与审批流程的情况）完成后开始执行。执行过程中可以针对计划内容进行添加及修改，不能进行删除。</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3.计划检查与绩效</w:t>
      </w:r>
    </w:p>
    <w:p>
      <w:pPr>
        <w:numPr>
          <w:ilvl w:val="0"/>
          <w:numId w:val="33"/>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业务逻辑</w:t>
      </w:r>
    </w:p>
    <w:p>
      <w:pPr>
        <w:kinsoku/>
        <w:wordWrap/>
        <w:topLinePunct w:val="0"/>
        <w:autoSpaceDE/>
        <w:autoSpaceDN/>
        <w:bidi w:val="0"/>
        <w:spacing w:line="560" w:lineRule="exact"/>
        <w:ind w:firstLine="0" w:firstLineChars="0"/>
        <w:jc w:val="center"/>
        <w:rPr>
          <w:rFonts w:ascii="方正仿宋_GBK" w:hAnsi="方正仿宋_GBK"/>
          <w:snapToGrid w:val="0"/>
        </w:rPr>
      </w:pPr>
      <w:r>
        <w:rPr>
          <w:rFonts w:hint="eastAsia" w:ascii="方正仿宋_GBK" w:hAnsi="方正仿宋_GBK"/>
          <w:snapToGrid w:val="0"/>
        </w:rPr>
        <w:drawing>
          <wp:inline distT="0" distB="0" distL="0" distR="0">
            <wp:extent cx="5274310" cy="1115060"/>
            <wp:effectExtent l="0" t="0" r="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2"/>
                    <a:stretch>
                      <a:fillRect/>
                    </a:stretch>
                  </pic:blipFill>
                  <pic:spPr>
                    <a:xfrm>
                      <a:off x="0" y="0"/>
                      <a:ext cx="5274310" cy="1115060"/>
                    </a:xfrm>
                    <a:prstGeom prst="rect">
                      <a:avLst/>
                    </a:prstGeom>
                  </pic:spPr>
                </pic:pic>
              </a:graphicData>
            </a:graphic>
          </wp:inline>
        </w:drawing>
      </w:r>
    </w:p>
    <w:p>
      <w:pPr>
        <w:numPr>
          <w:ilvl w:val="0"/>
          <w:numId w:val="10"/>
        </w:numPr>
        <w:tabs>
          <w:tab w:val="left" w:pos="0"/>
        </w:tabs>
        <w:kinsoku/>
        <w:wordWrap/>
        <w:topLinePunct w:val="0"/>
        <w:autoSpaceDE/>
        <w:autoSpaceDN/>
        <w:bidi w:val="0"/>
        <w:spacing w:before="198" w:beforeLines="50" w:after="397" w:afterLines="100" w:line="560" w:lineRule="exact"/>
        <w:ind w:firstLineChars="0"/>
        <w:jc w:val="center"/>
        <w:rPr>
          <w:rFonts w:ascii="方正仿宋_GBK" w:hAnsi="方正仿宋_GBK"/>
          <w:snapToGrid w:val="0"/>
          <w:spacing w:val="0"/>
        </w:rPr>
      </w:pPr>
      <w:r>
        <w:rPr>
          <w:rFonts w:hint="eastAsia" w:ascii="方正仿宋_GBK" w:hAnsi="方正仿宋_GBK"/>
          <w:snapToGrid w:val="0"/>
          <w:spacing w:val="0"/>
        </w:rPr>
        <w:t>业务逻辑图</w:t>
      </w:r>
    </w:p>
    <w:p>
      <w:pPr>
        <w:numPr>
          <w:ilvl w:val="0"/>
          <w:numId w:val="33"/>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功能介绍</w:t>
      </w:r>
    </w:p>
    <w:p>
      <w:pPr>
        <w:numPr>
          <w:ilvl w:val="0"/>
          <w:numId w:val="34"/>
        </w:numPr>
        <w:kinsoku/>
        <w:wordWrap/>
        <w:topLinePunct w:val="0"/>
        <w:autoSpaceDE/>
        <w:autoSpaceDN/>
        <w:bidi w:val="0"/>
        <w:spacing w:line="560" w:lineRule="exact"/>
        <w:ind w:firstLine="600"/>
        <w:rPr>
          <w:rFonts w:ascii="方正仿宋_GBK" w:hAnsi="方正仿宋_GBK"/>
          <w:snapToGrid w:val="0"/>
          <w:spacing w:val="10"/>
        </w:rPr>
      </w:pPr>
      <w:r>
        <w:rPr>
          <w:rFonts w:hint="eastAsia" w:ascii="方正仿宋_GBK" w:hAnsi="方正仿宋_GBK"/>
          <w:snapToGrid w:val="0"/>
          <w:spacing w:val="10"/>
        </w:rPr>
        <w:t>计划检查与跟踪</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计划完成情况可以按不同的计划及不同分类维度的计划统计计划的完成情况。同时可以根据相应的权限进行分配督导。</w:t>
      </w:r>
    </w:p>
    <w:p>
      <w:pPr>
        <w:numPr>
          <w:ilvl w:val="0"/>
          <w:numId w:val="34"/>
        </w:numPr>
        <w:kinsoku/>
        <w:wordWrap/>
        <w:topLinePunct w:val="0"/>
        <w:autoSpaceDE/>
        <w:autoSpaceDN/>
        <w:bidi w:val="0"/>
        <w:spacing w:line="560" w:lineRule="exact"/>
        <w:ind w:firstLine="600"/>
        <w:rPr>
          <w:rFonts w:ascii="方正仿宋_GBK" w:hAnsi="方正仿宋_GBK"/>
          <w:snapToGrid w:val="0"/>
          <w:spacing w:val="10"/>
        </w:rPr>
      </w:pPr>
      <w:r>
        <w:rPr>
          <w:rFonts w:hint="eastAsia" w:ascii="方正仿宋_GBK" w:hAnsi="方正仿宋_GBK"/>
          <w:snapToGrid w:val="0"/>
          <w:spacing w:val="10"/>
        </w:rPr>
        <w:t>计划总结</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计划在设定的周期内自动触发计划总结提醒，提醒计划发起者对计划完成情况进行处理，对本周各类计划进行工作总结，目标达成及完成情况，未完成计划写明未完成原因。</w:t>
      </w:r>
    </w:p>
    <w:p>
      <w:pPr>
        <w:numPr>
          <w:ilvl w:val="0"/>
          <w:numId w:val="34"/>
        </w:numPr>
        <w:kinsoku/>
        <w:wordWrap/>
        <w:topLinePunct w:val="0"/>
        <w:autoSpaceDE/>
        <w:autoSpaceDN/>
        <w:bidi w:val="0"/>
        <w:spacing w:line="560" w:lineRule="exact"/>
        <w:ind w:firstLine="600"/>
        <w:rPr>
          <w:rFonts w:ascii="方正仿宋_GBK" w:hAnsi="方正仿宋_GBK"/>
          <w:snapToGrid w:val="0"/>
          <w:spacing w:val="10"/>
        </w:rPr>
      </w:pPr>
      <w:r>
        <w:rPr>
          <w:rFonts w:hint="eastAsia" w:ascii="方正仿宋_GBK" w:hAnsi="方正仿宋_GBK"/>
          <w:snapToGrid w:val="0"/>
          <w:spacing w:val="10"/>
        </w:rPr>
        <w:t>计划绩效</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月工作计划可以与绩效进行结合，若只使用周工作计划，则可以每月根据周工作计划的执行情况进行绩效的评核（系统可自动发起流程）。</w:t>
      </w:r>
    </w:p>
    <w:p>
      <w:pPr>
        <w:numPr>
          <w:ilvl w:val="0"/>
          <w:numId w:val="34"/>
        </w:numPr>
        <w:kinsoku/>
        <w:wordWrap/>
        <w:topLinePunct w:val="0"/>
        <w:autoSpaceDE/>
        <w:autoSpaceDN/>
        <w:bidi w:val="0"/>
        <w:spacing w:line="560" w:lineRule="exact"/>
        <w:ind w:firstLine="600"/>
        <w:rPr>
          <w:rFonts w:ascii="方正仿宋_GBK" w:hAnsi="方正仿宋_GBK"/>
          <w:snapToGrid w:val="0"/>
          <w:spacing w:val="10"/>
        </w:rPr>
      </w:pPr>
      <w:r>
        <w:rPr>
          <w:rFonts w:hint="eastAsia" w:ascii="方正仿宋_GBK" w:hAnsi="方正仿宋_GBK"/>
          <w:snapToGrid w:val="0"/>
          <w:spacing w:val="10"/>
        </w:rPr>
        <w:t>考评确认</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针对每月的计划绩效，被考评者可以对绩效考核的内容进行确认无误后，计划绩效数据作为员工月绩效考核的一部分流转到绩效考核人员。</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4.计划调整与优化</w:t>
      </w:r>
    </w:p>
    <w:p>
      <w:pPr>
        <w:numPr>
          <w:ilvl w:val="0"/>
          <w:numId w:val="35"/>
        </w:numPr>
        <w:kinsoku/>
        <w:wordWrap/>
        <w:topLinePunct w:val="0"/>
        <w:autoSpaceDE/>
        <w:autoSpaceDN/>
        <w:bidi w:val="0"/>
        <w:spacing w:line="560" w:lineRule="exact"/>
        <w:ind w:firstLine="600"/>
        <w:rPr>
          <w:rFonts w:ascii="方正仿宋_GBK" w:hAnsi="方正仿宋_GBK"/>
          <w:snapToGrid w:val="0"/>
          <w:spacing w:val="10"/>
        </w:rPr>
      </w:pPr>
      <w:r>
        <w:rPr>
          <w:rFonts w:hint="eastAsia" w:ascii="方正仿宋_GBK" w:hAnsi="方正仿宋_GBK"/>
          <w:snapToGrid w:val="0"/>
          <w:spacing w:val="10"/>
        </w:rPr>
        <w:t>业务逻辑</w:t>
      </w:r>
    </w:p>
    <w:p>
      <w:pPr>
        <w:kinsoku/>
        <w:wordWrap/>
        <w:topLinePunct w:val="0"/>
        <w:autoSpaceDE/>
        <w:autoSpaceDN/>
        <w:bidi w:val="0"/>
        <w:spacing w:line="560" w:lineRule="exact"/>
        <w:ind w:firstLine="0" w:firstLineChars="0"/>
        <w:jc w:val="both"/>
        <w:rPr>
          <w:rFonts w:ascii="方正仿宋_GBK" w:hAnsi="方正仿宋_GBK"/>
        </w:rPr>
      </w:pPr>
      <w:r>
        <w:rPr>
          <w:rFonts w:hint="eastAsia" w:ascii="方正仿宋_GBK" w:hAnsi="方正仿宋_GBK"/>
        </w:rPr>
        <w:drawing>
          <wp:inline distT="0" distB="0" distL="0" distR="0">
            <wp:extent cx="5274310" cy="251015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3"/>
                    <a:stretch>
                      <a:fillRect/>
                    </a:stretch>
                  </pic:blipFill>
                  <pic:spPr>
                    <a:xfrm>
                      <a:off x="0" y="0"/>
                      <a:ext cx="5274310" cy="2510155"/>
                    </a:xfrm>
                    <a:prstGeom prst="rect">
                      <a:avLst/>
                    </a:prstGeom>
                  </pic:spPr>
                </pic:pic>
              </a:graphicData>
            </a:graphic>
          </wp:inline>
        </w:drawing>
      </w:r>
    </w:p>
    <w:p>
      <w:pPr>
        <w:numPr>
          <w:ilvl w:val="0"/>
          <w:numId w:val="10"/>
        </w:numPr>
        <w:tabs>
          <w:tab w:val="left" w:pos="0"/>
        </w:tabs>
        <w:kinsoku/>
        <w:wordWrap/>
        <w:topLinePunct w:val="0"/>
        <w:autoSpaceDE/>
        <w:autoSpaceDN/>
        <w:bidi w:val="0"/>
        <w:spacing w:before="198" w:beforeLines="50" w:after="397" w:afterLines="100" w:line="560" w:lineRule="exact"/>
        <w:ind w:firstLineChars="0"/>
        <w:jc w:val="center"/>
        <w:rPr>
          <w:rFonts w:ascii="方正仿宋_GBK" w:hAnsi="方正仿宋_GBK"/>
          <w:snapToGrid w:val="0"/>
          <w:spacing w:val="0"/>
        </w:rPr>
      </w:pPr>
      <w:r>
        <w:rPr>
          <w:rFonts w:hint="eastAsia" w:ascii="方正仿宋_GBK" w:hAnsi="方正仿宋_GBK"/>
          <w:snapToGrid w:val="0"/>
          <w:spacing w:val="0"/>
        </w:rPr>
        <w:t>业务逻辑图</w:t>
      </w:r>
    </w:p>
    <w:p>
      <w:pPr>
        <w:numPr>
          <w:ilvl w:val="0"/>
          <w:numId w:val="35"/>
        </w:numPr>
        <w:kinsoku/>
        <w:wordWrap/>
        <w:topLinePunct w:val="0"/>
        <w:autoSpaceDE/>
        <w:autoSpaceDN/>
        <w:bidi w:val="0"/>
        <w:spacing w:line="560" w:lineRule="exact"/>
        <w:ind w:firstLine="600"/>
        <w:rPr>
          <w:rFonts w:ascii="方正仿宋_GBK" w:hAnsi="方正仿宋_GBK"/>
          <w:snapToGrid w:val="0"/>
          <w:spacing w:val="10"/>
        </w:rPr>
      </w:pPr>
      <w:r>
        <w:rPr>
          <w:rFonts w:hint="eastAsia" w:ascii="方正仿宋_GBK" w:hAnsi="方正仿宋_GBK"/>
          <w:snapToGrid w:val="0"/>
          <w:spacing w:val="10"/>
        </w:rPr>
        <w:t>功能介绍</w:t>
      </w:r>
    </w:p>
    <w:p>
      <w:pPr>
        <w:numPr>
          <w:ilvl w:val="0"/>
          <w:numId w:val="36"/>
        </w:numPr>
        <w:kinsoku/>
        <w:wordWrap/>
        <w:topLinePunct w:val="0"/>
        <w:autoSpaceDE/>
        <w:autoSpaceDN/>
        <w:bidi w:val="0"/>
        <w:spacing w:line="560" w:lineRule="exact"/>
        <w:ind w:firstLine="600"/>
        <w:rPr>
          <w:rFonts w:ascii="方正仿宋_GBK" w:hAnsi="方正仿宋_GBK"/>
          <w:snapToGrid w:val="0"/>
          <w:spacing w:val="10"/>
        </w:rPr>
      </w:pPr>
      <w:r>
        <w:rPr>
          <w:rFonts w:hint="eastAsia" w:ascii="方正仿宋_GBK" w:hAnsi="方正仿宋_GBK"/>
          <w:snapToGrid w:val="0"/>
          <w:spacing w:val="10"/>
        </w:rPr>
        <w:t>计划调整</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计划不能赶不上实际变化，当实际情况发生改变时，计划就要进行相应地调整。项目类计划与日常要事类可能会取消、暂停、延期等情况，调整后计划的执行也相应调整，取消、暂停的任务将不再可选。所以计划执行过程中，运营管理部门、各业务管理部门均可以根据实际情况，提出对计划的开始、结束日期、执行人等进行调整。</w:t>
      </w:r>
    </w:p>
    <w:p>
      <w:pPr>
        <w:numPr>
          <w:ilvl w:val="0"/>
          <w:numId w:val="36"/>
        </w:numPr>
        <w:kinsoku/>
        <w:wordWrap/>
        <w:topLinePunct w:val="0"/>
        <w:autoSpaceDE/>
        <w:autoSpaceDN/>
        <w:bidi w:val="0"/>
        <w:spacing w:line="560" w:lineRule="exact"/>
        <w:ind w:firstLine="600"/>
        <w:rPr>
          <w:rFonts w:ascii="方正仿宋_GBK" w:hAnsi="方正仿宋_GBK"/>
          <w:snapToGrid w:val="0"/>
          <w:spacing w:val="10"/>
        </w:rPr>
      </w:pPr>
      <w:r>
        <w:rPr>
          <w:rFonts w:hint="eastAsia" w:ascii="方正仿宋_GBK" w:hAnsi="方正仿宋_GBK"/>
          <w:snapToGrid w:val="0"/>
          <w:spacing w:val="10"/>
        </w:rPr>
        <w:t>计划修改</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针对临时计划提供计划执行过程中对计划的增加修改，对计划的修改信息会以消息形式发送到相关责任人与检查人。</w:t>
      </w:r>
    </w:p>
    <w:p>
      <w:pPr>
        <w:pStyle w:val="8"/>
        <w:kinsoku/>
        <w:wordWrap/>
        <w:topLinePunct w:val="0"/>
        <w:autoSpaceDE/>
        <w:autoSpaceDN/>
        <w:bidi w:val="0"/>
        <w:spacing w:before="198" w:after="198" w:line="560" w:lineRule="exact"/>
      </w:pPr>
      <w:r>
        <w:rPr>
          <w:rFonts w:hint="eastAsia"/>
        </w:rPr>
        <w:t>经济运行分析</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企业经济运行分析可以及时发现企业经营活动中存在的问题，并不断加以改进和提高，获得最大的经济效益。其指标包括但不限于销售毛利率、销售利润率、总资产周转率、流动资产周转率、存货周转率、应收账款周转率的经营指标分析以及资产负债率、流动比率、速动比率、利息保障倍数、净资产收益率、总资产利润率的财务状况指标分析。主要功能包括：经济</w:t>
      </w:r>
      <w:r>
        <w:rPr>
          <w:rFonts w:hint="eastAsia" w:ascii="方正仿宋_GBK" w:hAnsi="方正仿宋_GBK"/>
          <w:snapToGrid w:val="0"/>
          <w:lang w:eastAsia="zh-CN"/>
        </w:rPr>
        <w:t>运行</w:t>
      </w:r>
      <w:r>
        <w:rPr>
          <w:rFonts w:hint="eastAsia" w:ascii="方正仿宋_GBK" w:hAnsi="方正仿宋_GBK"/>
          <w:snapToGrid w:val="0"/>
        </w:rPr>
        <w:t>情况、与计划的对比、偏差分析及纠偏措施执行，分析报表支持层层穿透至原始单据。</w:t>
      </w:r>
    </w:p>
    <w:p>
      <w:pPr>
        <w:pStyle w:val="8"/>
        <w:kinsoku/>
        <w:wordWrap/>
        <w:topLinePunct w:val="0"/>
        <w:autoSpaceDE/>
        <w:autoSpaceDN/>
        <w:bidi w:val="0"/>
        <w:spacing w:before="198" w:after="198" w:line="560" w:lineRule="exact"/>
      </w:pPr>
      <w:r>
        <w:rPr>
          <w:rFonts w:hint="eastAsia"/>
        </w:rPr>
        <w:t>运营考核管理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可以根据经营业绩考核计分办法，对业务部门各项指标完成情况进行考核结果的计分计算，同时可以对各业务部门的业绩考核目标值、完成情况以及考核得分等数据可进行多条件的查询。查询结果包括：单位名称、年度、指标名称、目标值、审定完成值、单项得分。</w:t>
      </w:r>
    </w:p>
    <w:p>
      <w:pPr>
        <w:kinsoku/>
        <w:wordWrap/>
        <w:topLinePunct w:val="0"/>
        <w:autoSpaceDE/>
        <w:autoSpaceDN/>
        <w:bidi w:val="0"/>
        <w:spacing w:line="560" w:lineRule="exact"/>
        <w:ind w:left="604" w:leftChars="200" w:firstLine="0" w:firstLineChars="0"/>
        <w:rPr>
          <w:rFonts w:ascii="方正仿宋_GBK" w:hAnsi="方正仿宋_GBK"/>
          <w:snapToGrid w:val="0"/>
        </w:rPr>
      </w:pPr>
      <w:r>
        <w:rPr>
          <w:rFonts w:hint="eastAsia" w:ascii="方正仿宋_GBK" w:hAnsi="方正仿宋_GBK"/>
          <w:snapToGrid w:val="0"/>
        </w:rPr>
        <w:t>1.支持表格形式统计结果的导出</w:t>
      </w:r>
    </w:p>
    <w:p>
      <w:pPr>
        <w:kinsoku/>
        <w:wordWrap/>
        <w:topLinePunct w:val="0"/>
        <w:autoSpaceDE/>
        <w:autoSpaceDN/>
        <w:bidi w:val="0"/>
        <w:spacing w:line="560" w:lineRule="exact"/>
        <w:ind w:left="604" w:leftChars="200" w:firstLine="0" w:firstLineChars="0"/>
        <w:rPr>
          <w:rFonts w:ascii="方正仿宋_GBK" w:hAnsi="方正仿宋_GBK"/>
          <w:snapToGrid w:val="0"/>
        </w:rPr>
      </w:pPr>
      <w:r>
        <w:rPr>
          <w:rFonts w:hint="eastAsia" w:ascii="方正仿宋_GBK" w:hAnsi="方正仿宋_GBK"/>
          <w:snapToGrid w:val="0"/>
        </w:rPr>
        <w:t>2.支持统计结果排名、排序</w:t>
      </w:r>
    </w:p>
    <w:p>
      <w:pPr>
        <w:kinsoku/>
        <w:wordWrap/>
        <w:topLinePunct w:val="0"/>
        <w:autoSpaceDE/>
        <w:autoSpaceDN/>
        <w:bidi w:val="0"/>
        <w:spacing w:line="560" w:lineRule="exact"/>
        <w:ind w:left="604" w:leftChars="200" w:firstLine="0" w:firstLineChars="0"/>
        <w:rPr>
          <w:rFonts w:ascii="方正仿宋_GBK" w:hAnsi="方正仿宋_GBK"/>
          <w:snapToGrid w:val="0"/>
        </w:rPr>
      </w:pPr>
      <w:r>
        <w:rPr>
          <w:rFonts w:hint="eastAsia" w:ascii="方正仿宋_GBK" w:hAnsi="方正仿宋_GBK"/>
          <w:snapToGrid w:val="0"/>
        </w:rPr>
        <w:t>3.支持可设置考核指标，并对超出考核指标的给予预警</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4.支持多维多风格的图形化展示，覆盖柱状图、折线图、饼状图、散点图等20+报表展现形式</w:t>
      </w:r>
    </w:p>
    <w:p>
      <w:pPr>
        <w:kinsoku/>
        <w:wordWrap/>
        <w:topLinePunct w:val="0"/>
        <w:autoSpaceDE/>
        <w:autoSpaceDN/>
        <w:bidi w:val="0"/>
        <w:spacing w:line="560" w:lineRule="exact"/>
        <w:ind w:left="604" w:leftChars="200" w:firstLine="0" w:firstLineChars="0"/>
        <w:rPr>
          <w:rFonts w:ascii="方正仿宋_GBK" w:hAnsi="方正仿宋_GBK"/>
          <w:snapToGrid w:val="0"/>
        </w:rPr>
      </w:pPr>
      <w:r>
        <w:rPr>
          <w:rFonts w:hint="eastAsia" w:ascii="方正仿宋_GBK" w:hAnsi="方正仿宋_GBK"/>
          <w:snapToGrid w:val="0"/>
        </w:rPr>
        <w:t>5.报表可挂载到PC和移动门户空间，数据主动推送</w:t>
      </w:r>
    </w:p>
    <w:p>
      <w:pPr>
        <w:pStyle w:val="8"/>
        <w:kinsoku/>
        <w:wordWrap/>
        <w:topLinePunct w:val="0"/>
        <w:autoSpaceDE/>
        <w:autoSpaceDN/>
        <w:bidi w:val="0"/>
        <w:spacing w:before="198" w:after="198" w:line="560" w:lineRule="exact"/>
      </w:pPr>
      <w:r>
        <w:rPr>
          <w:rFonts w:hint="eastAsia"/>
        </w:rPr>
        <w:t>大宗物资采购管理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每个企业在系统上传大宗物资采购目录（年度）、大宗物资采购计划表（年度）、大宗物资采购情况统计表（月度），集团汇总之后可随时查询。</w:t>
      </w:r>
    </w:p>
    <w:p>
      <w:pPr>
        <w:pStyle w:val="7"/>
        <w:kinsoku/>
        <w:wordWrap/>
        <w:topLinePunct w:val="0"/>
        <w:autoSpaceDE/>
        <w:autoSpaceDN/>
        <w:bidi w:val="0"/>
        <w:spacing w:before="198" w:after="198" w:line="560" w:lineRule="exact"/>
        <w:rPr>
          <w:rFonts w:hint="default"/>
        </w:rPr>
      </w:pPr>
      <w:r>
        <w:t>资产管理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资产管理实现资产（主要包括土地、房屋、大型设施设备、股权等）的全生命周期管控，提高对资产的管理力度，提高项目决策和监管的科学性与效率。系统对资产整个生命周期的每一个关键环节进行跟踪管理、信息记录，彻底将资产的实物管理人员从繁杂的日常管理工作中解脱出来，同时，也为相关领导提供快速、准确、科学的决策信息。</w:t>
      </w:r>
    </w:p>
    <w:p>
      <w:pPr>
        <w:pStyle w:val="8"/>
        <w:kinsoku/>
        <w:wordWrap/>
        <w:topLinePunct w:val="0"/>
        <w:autoSpaceDE/>
        <w:autoSpaceDN/>
        <w:bidi w:val="0"/>
        <w:spacing w:before="198" w:after="198" w:line="560" w:lineRule="exact"/>
      </w:pPr>
      <w:r>
        <w:rPr>
          <w:rFonts w:hint="eastAsia"/>
        </w:rPr>
        <w:t>资产档案</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资产档案主要是帮助企业系统化管理资产，记录资产参与的各个业务活动中，并把资产参与业务活动产生的决策文件、权属文件等书面资料存入资料库中。包括资产汇总表、单宗资产卡片、资产树、资产权证及相关历史文件查询等功能。</w:t>
      </w:r>
    </w:p>
    <w:p>
      <w:pPr>
        <w:numPr>
          <w:ilvl w:val="0"/>
          <w:numId w:val="37"/>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资产汇总表</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资产汇总表应能按类别将企业资产汇总，方便管理者查询基本信息。</w:t>
      </w:r>
    </w:p>
    <w:p>
      <w:pPr>
        <w:numPr>
          <w:ilvl w:val="0"/>
          <w:numId w:val="37"/>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资产卡片</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资产卡片用于完成资产基本信息的建立和管理工作，应可以对资产卡片进行增、删、改操作，并支持审批流。</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资产卡片不仅仅记录了设备的静态基本信息，还记录了资产卡片对一个的资产所作的各种业务信息，这些信息以页签的形式进行展现。</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应提供从资产卡片，进行业务处理的入口，如直接发起领用，归还，盘点等。</w:t>
      </w:r>
    </w:p>
    <w:p>
      <w:pPr>
        <w:numPr>
          <w:ilvl w:val="0"/>
          <w:numId w:val="37"/>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资产树</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资产树是</w:t>
      </w:r>
      <w:r>
        <w:rPr>
          <w:rFonts w:hint="eastAsia" w:ascii="方正仿宋_GBK" w:hAnsi="方正仿宋_GBK"/>
          <w:snapToGrid w:val="0"/>
          <w:lang w:eastAsia="zh-CN"/>
        </w:rPr>
        <w:t>反映</w:t>
      </w:r>
      <w:r>
        <w:rPr>
          <w:rFonts w:hint="eastAsia" w:ascii="方正仿宋_GBK" w:hAnsi="方正仿宋_GBK"/>
          <w:snapToGrid w:val="0"/>
        </w:rPr>
        <w:t>资产和其子资产层次结构的树形结构图。通过资产树，应可以清晰</w:t>
      </w:r>
      <w:r>
        <w:rPr>
          <w:rFonts w:hint="eastAsia" w:ascii="方正仿宋_GBK" w:hAnsi="方正仿宋_GBK"/>
          <w:snapToGrid w:val="0"/>
          <w:lang w:eastAsia="zh-CN"/>
        </w:rPr>
        <w:t>明了地</w:t>
      </w:r>
      <w:r>
        <w:rPr>
          <w:rFonts w:hint="eastAsia" w:ascii="方正仿宋_GBK" w:hAnsi="方正仿宋_GBK"/>
          <w:snapToGrid w:val="0"/>
          <w:lang w:val="en-US" w:eastAsia="zh-CN"/>
        </w:rPr>
        <w:t>反映</w:t>
      </w:r>
      <w:r>
        <w:rPr>
          <w:rFonts w:hint="eastAsia" w:ascii="方正仿宋_GBK" w:hAnsi="方正仿宋_GBK"/>
          <w:snapToGrid w:val="0"/>
        </w:rPr>
        <w:t>出资产的上下层次结构和资产构成。同时可以通过资产类别树，位置树来方便的快速定位设备。同时还应可以通过联查功能，查看资产卡片，以及对应的故障记录、工单记录、预防性维护等信息。</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支持资产类别、资产组织、资产位置、行政组织等多种树形展示结构。</w:t>
      </w:r>
    </w:p>
    <w:p>
      <w:pPr>
        <w:numPr>
          <w:ilvl w:val="0"/>
          <w:numId w:val="37"/>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技术参数</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技术参数是一类或某类资产类别公共的资产属性的集合，如车辆类资产车架号，车牌号属性等，房屋类属性的面积，房产证，建筑商等信息。技术参数板块应可以和资产类别建立关联，从而展示在资产卡片上。支持参数分组，支持参数跟资产类别建立对应关系。</w:t>
      </w:r>
    </w:p>
    <w:p>
      <w:pPr>
        <w:numPr>
          <w:ilvl w:val="0"/>
          <w:numId w:val="37"/>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相关历史文件查询</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支持多维度查询条件查询资产卡片信息，支持保存查询方案，查询结果支持导出，打印，自定义显示格式。</w:t>
      </w:r>
    </w:p>
    <w:p>
      <w:pPr>
        <w:pStyle w:val="8"/>
        <w:kinsoku/>
        <w:wordWrap/>
        <w:topLinePunct w:val="0"/>
        <w:autoSpaceDE/>
        <w:autoSpaceDN/>
        <w:bidi w:val="0"/>
        <w:spacing w:before="198" w:after="198" w:line="560" w:lineRule="exact"/>
      </w:pPr>
      <w:r>
        <w:rPr>
          <w:rFonts w:hint="eastAsia"/>
        </w:rPr>
        <w:t>资产地图</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主要用于显示资产的位置。结合在线地图系统（GIS），</w:t>
      </w:r>
      <w:r>
        <w:rPr>
          <w:rFonts w:hint="eastAsia" w:ascii="方正仿宋_GBK" w:hAnsi="方正仿宋_GBK"/>
          <w:snapToGrid w:val="0"/>
          <w:lang w:val="en-US" w:eastAsia="zh-CN"/>
        </w:rPr>
        <w:t>实现</w:t>
      </w:r>
      <w:r>
        <w:rPr>
          <w:rFonts w:hint="eastAsia" w:ascii="方正仿宋_GBK" w:hAnsi="方正仿宋_GBK"/>
          <w:snapToGrid w:val="0"/>
        </w:rPr>
        <w:t>跨地域资产可视化。通过可视化资产点，可进行数据穿透查看资产详情。各处资产尽收眼底。实现资产管理可视化，</w:t>
      </w:r>
      <w:r>
        <w:rPr>
          <w:rFonts w:hint="eastAsia" w:ascii="方正仿宋_GBK" w:hAnsi="方正仿宋_GBK"/>
          <w:snapToGrid w:val="0"/>
          <w:lang w:val="en-US" w:eastAsia="zh-CN"/>
        </w:rPr>
        <w:t>解决</w:t>
      </w:r>
      <w:r>
        <w:rPr>
          <w:rFonts w:hint="eastAsia" w:ascii="方正仿宋_GBK" w:hAnsi="方正仿宋_GBK"/>
          <w:snapToGrid w:val="0"/>
        </w:rPr>
        <w:t>投用后大面积分布式资产</w:t>
      </w:r>
      <w:r>
        <w:rPr>
          <w:rFonts w:hint="eastAsia" w:ascii="方正仿宋_GBK" w:hAnsi="方正仿宋_GBK"/>
          <w:snapToGrid w:val="0"/>
          <w:lang w:eastAsia="zh-CN"/>
        </w:rPr>
        <w:t>接收</w:t>
      </w:r>
      <w:r>
        <w:rPr>
          <w:rFonts w:hint="eastAsia" w:ascii="方正仿宋_GBK" w:hAnsi="方正仿宋_GBK"/>
          <w:snapToGrid w:val="0"/>
        </w:rPr>
        <w:t>、盘点、管理的难题。</w:t>
      </w:r>
    </w:p>
    <w:p>
      <w:pPr>
        <w:pStyle w:val="8"/>
        <w:kinsoku/>
        <w:wordWrap/>
        <w:topLinePunct w:val="0"/>
        <w:autoSpaceDE/>
        <w:autoSpaceDN/>
        <w:bidi w:val="0"/>
        <w:spacing w:before="198" w:after="198" w:line="560" w:lineRule="exact"/>
      </w:pPr>
      <w:r>
        <w:rPr>
          <w:rFonts w:hint="eastAsia"/>
        </w:rPr>
        <w:t>资产台账</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资产台账主要由资产管理组织对业务单据进行查询。包括但不限于资产名称、所处位置、产权人、管理人、现状、账面净值、抵质押情况等查询功能。</w:t>
      </w:r>
    </w:p>
    <w:p>
      <w:pPr>
        <w:numPr>
          <w:ilvl w:val="0"/>
          <w:numId w:val="38"/>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资产信息台账</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支持多维度查询条件查询资产卡片信息，支持保存查询方案，查询结果支持导出，打印。</w:t>
      </w:r>
    </w:p>
    <w:p>
      <w:pPr>
        <w:numPr>
          <w:ilvl w:val="0"/>
          <w:numId w:val="38"/>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资产增加台账</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支持统计一定期间内资产增加的信息，支持保存查询方案，查询结果支持导出，打印。</w:t>
      </w:r>
    </w:p>
    <w:p>
      <w:pPr>
        <w:numPr>
          <w:ilvl w:val="0"/>
          <w:numId w:val="38"/>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资产减少台账</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支持统计一定期间内资产减少的信息，支持保存查询方案，查询结果支持导出，打印。</w:t>
      </w:r>
    </w:p>
    <w:p>
      <w:pPr>
        <w:numPr>
          <w:ilvl w:val="0"/>
          <w:numId w:val="38"/>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临期资产查询</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应可以基于购置日期/建账日期和可使用月限，对即将临期的资产进行查询展示，查询结果支持导出。</w:t>
      </w:r>
    </w:p>
    <w:p>
      <w:pPr>
        <w:pStyle w:val="8"/>
        <w:kinsoku/>
        <w:wordWrap/>
        <w:topLinePunct w:val="0"/>
        <w:autoSpaceDE/>
        <w:autoSpaceDN/>
        <w:bidi w:val="0"/>
        <w:spacing w:before="198" w:after="198" w:line="560" w:lineRule="exact"/>
      </w:pPr>
      <w:r>
        <w:rPr>
          <w:rFonts w:hint="eastAsia"/>
        </w:rPr>
        <w:t>资产评估或询价、估价</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集团在出现改制、对外投资、合并、分立、破产、解散、产权转让、资产转让、置换、出租资产等情况时需要进行资产评估的申请，然后按要求选择合适的机构对资产进行评估、询价、估价。需要将评估信息和评估过程、评估结果及时上报，由管理部门、相关领导进行审核和确认后，完成企业资产评估备案的全过程。</w:t>
      </w:r>
    </w:p>
    <w:p>
      <w:pPr>
        <w:widowControl w:val="0"/>
        <w:numPr>
          <w:ilvl w:val="0"/>
          <w:numId w:val="39"/>
        </w:numPr>
        <w:kinsoku/>
        <w:wordWrap/>
        <w:topLinePunct w:val="0"/>
        <w:autoSpaceDE/>
        <w:autoSpaceDN/>
        <w:bidi w:val="0"/>
        <w:spacing w:line="560" w:lineRule="exact"/>
        <w:ind w:left="604" w:leftChars="200" w:firstLine="604"/>
        <w:jc w:val="both"/>
        <w:rPr>
          <w:rFonts w:ascii="方正仿宋_GBK" w:hAnsi="方正仿宋_GBK"/>
        </w:rPr>
      </w:pPr>
      <w:r>
        <w:rPr>
          <w:rFonts w:hint="eastAsia" w:ascii="方正仿宋_GBK" w:hAnsi="方正仿宋_GBK"/>
        </w:rPr>
        <w:t>资产评估发起</w:t>
      </w:r>
    </w:p>
    <w:p>
      <w:pPr>
        <w:widowControl w:val="0"/>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资产评估备案发起有两种途径，一种途径是在业务办理过程中，根据发起界面中相关信息，流程启动后，系统自动发起资产评估流程。另一种途径是手工发起。</w:t>
      </w:r>
    </w:p>
    <w:p>
      <w:pPr>
        <w:widowControl w:val="0"/>
        <w:numPr>
          <w:ilvl w:val="0"/>
          <w:numId w:val="39"/>
        </w:numPr>
        <w:kinsoku/>
        <w:wordWrap/>
        <w:topLinePunct w:val="0"/>
        <w:autoSpaceDE/>
        <w:autoSpaceDN/>
        <w:bidi w:val="0"/>
        <w:spacing w:line="560" w:lineRule="exact"/>
        <w:ind w:left="604" w:leftChars="200" w:firstLine="604"/>
        <w:jc w:val="both"/>
        <w:rPr>
          <w:rFonts w:ascii="方正仿宋_GBK" w:hAnsi="方正仿宋_GBK"/>
        </w:rPr>
      </w:pPr>
      <w:r>
        <w:rPr>
          <w:rFonts w:hint="eastAsia" w:ascii="方正仿宋_GBK" w:hAnsi="方正仿宋_GBK"/>
        </w:rPr>
        <w:t>资产评估</w:t>
      </w:r>
    </w:p>
    <w:p>
      <w:pPr>
        <w:widowControl w:val="0"/>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资产评估功能支持企业完成整个评估过程中的编辑、上传附件、提交、审批、审核、查看审批日志等功能。同时可支持专家对评估结果进行线上评审，评审意见自动返回至评估机构端，评估完成后评估备案号可自动生成并回写至系统，帮助企业掌握并监控评估全过程。</w:t>
      </w:r>
    </w:p>
    <w:p>
      <w:pPr>
        <w:widowControl w:val="0"/>
        <w:numPr>
          <w:ilvl w:val="0"/>
          <w:numId w:val="39"/>
        </w:numPr>
        <w:kinsoku/>
        <w:wordWrap/>
        <w:topLinePunct w:val="0"/>
        <w:autoSpaceDE/>
        <w:autoSpaceDN/>
        <w:bidi w:val="0"/>
        <w:spacing w:line="560" w:lineRule="exact"/>
        <w:ind w:left="604" w:leftChars="200" w:firstLine="604"/>
        <w:jc w:val="both"/>
        <w:rPr>
          <w:rFonts w:ascii="方正仿宋_GBK" w:hAnsi="方正仿宋_GBK"/>
        </w:rPr>
      </w:pPr>
      <w:r>
        <w:rPr>
          <w:rFonts w:hint="eastAsia" w:ascii="方正仿宋_GBK" w:hAnsi="方正仿宋_GBK"/>
        </w:rPr>
        <w:t>业务监控</w:t>
      </w:r>
    </w:p>
    <w:p>
      <w:pPr>
        <w:widowControl w:val="0"/>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该功能应方便国资委实时监控查看整条业务线的所有情况。</w:t>
      </w:r>
    </w:p>
    <w:p>
      <w:pPr>
        <w:widowControl w:val="0"/>
        <w:numPr>
          <w:ilvl w:val="0"/>
          <w:numId w:val="39"/>
        </w:numPr>
        <w:kinsoku/>
        <w:wordWrap/>
        <w:topLinePunct w:val="0"/>
        <w:autoSpaceDE/>
        <w:autoSpaceDN/>
        <w:bidi w:val="0"/>
        <w:spacing w:line="560" w:lineRule="exact"/>
        <w:ind w:left="604" w:leftChars="200" w:firstLine="604"/>
        <w:jc w:val="both"/>
        <w:rPr>
          <w:rFonts w:ascii="方正仿宋_GBK" w:hAnsi="方正仿宋_GBK"/>
        </w:rPr>
      </w:pPr>
      <w:r>
        <w:rPr>
          <w:rFonts w:hint="eastAsia" w:ascii="方正仿宋_GBK" w:hAnsi="方正仿宋_GBK"/>
        </w:rPr>
        <w:t>评估机构管理</w:t>
      </w:r>
    </w:p>
    <w:p>
      <w:pPr>
        <w:widowControl w:val="0"/>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该功能支持对本单位评估机构库中的评估机构相关信息进行管理。帮助企业建立资产评估机构库，支持企业在国资委确定的中介评估机构库中选择合适的机构对资产进行评估。同时，该功能支持用户完成整个评估机构信息的编辑、上传附件、提交、审批、查看审批日志等。</w:t>
      </w:r>
    </w:p>
    <w:p>
      <w:pPr>
        <w:widowControl w:val="0"/>
        <w:numPr>
          <w:ilvl w:val="0"/>
          <w:numId w:val="39"/>
        </w:numPr>
        <w:kinsoku/>
        <w:wordWrap/>
        <w:topLinePunct w:val="0"/>
        <w:autoSpaceDE/>
        <w:autoSpaceDN/>
        <w:bidi w:val="0"/>
        <w:spacing w:line="560" w:lineRule="exact"/>
        <w:ind w:left="604" w:leftChars="200" w:firstLine="604"/>
        <w:jc w:val="both"/>
        <w:rPr>
          <w:rFonts w:ascii="方正仿宋_GBK" w:hAnsi="方正仿宋_GBK"/>
        </w:rPr>
      </w:pPr>
      <w:r>
        <w:rPr>
          <w:rFonts w:hint="eastAsia" w:ascii="方正仿宋_GBK" w:hAnsi="方正仿宋_GBK"/>
        </w:rPr>
        <w:t>评估专家管理</w:t>
      </w:r>
    </w:p>
    <w:p>
      <w:pPr>
        <w:widowControl w:val="0"/>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该功能应帮助企业建立资产评估专家库，录入资产评估专家个人信息资料，供企业对评估专家信息的编辑、上传附件、提交、审批、查看审批日志等的动态管理。支持登记资产评估专家信息，包括姓名、性别、所在的事务所、资格证书、年龄、学历、特长等信息。</w:t>
      </w:r>
    </w:p>
    <w:p>
      <w:pPr>
        <w:pStyle w:val="8"/>
        <w:kinsoku/>
        <w:wordWrap/>
        <w:topLinePunct w:val="0"/>
        <w:autoSpaceDE/>
        <w:autoSpaceDN/>
        <w:bidi w:val="0"/>
        <w:spacing w:before="198" w:after="198" w:line="560" w:lineRule="exact"/>
      </w:pPr>
      <w:r>
        <w:rPr>
          <w:rFonts w:hint="eastAsia"/>
        </w:rPr>
        <w:t>资产处置</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资产处置系统主要用于对那些使用价值低于维护价值的资产进行处置变卖的管理。包括集团公司及所属企业资产报废、资产公开转让、非公开协议转让、无偿划转时的审批等功能。</w:t>
      </w:r>
    </w:p>
    <w:p>
      <w:pPr>
        <w:widowControl w:val="0"/>
        <w:numPr>
          <w:ilvl w:val="0"/>
          <w:numId w:val="40"/>
        </w:numPr>
        <w:kinsoku/>
        <w:wordWrap/>
        <w:topLinePunct w:val="0"/>
        <w:autoSpaceDE/>
        <w:autoSpaceDN/>
        <w:bidi w:val="0"/>
        <w:spacing w:line="560" w:lineRule="exact"/>
        <w:ind w:left="604" w:leftChars="200" w:firstLine="604"/>
        <w:jc w:val="both"/>
        <w:rPr>
          <w:rFonts w:ascii="方正仿宋_GBK" w:hAnsi="方正仿宋_GBK"/>
        </w:rPr>
      </w:pPr>
      <w:r>
        <w:rPr>
          <w:rFonts w:hint="eastAsia" w:ascii="方正仿宋_GBK" w:hAnsi="方正仿宋_GBK"/>
        </w:rPr>
        <w:t>资产报废</w:t>
      </w:r>
    </w:p>
    <w:p>
      <w:pPr>
        <w:widowControl w:val="0"/>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资产报废应用于解决资产运营中发生的资产报废的业务。一些设备或资产已经没有使用价值，或者长期产生大量废品，同时也不能作为旧设备变卖，产生现金流入，应将其永久封存。通常情况下这些设备都会从生产场所，搬移到某个仓库集中管理，例如：废品库。</w:t>
      </w:r>
    </w:p>
    <w:p>
      <w:pPr>
        <w:widowControl w:val="0"/>
        <w:numPr>
          <w:ilvl w:val="0"/>
          <w:numId w:val="40"/>
        </w:numPr>
        <w:kinsoku/>
        <w:wordWrap/>
        <w:topLinePunct w:val="0"/>
        <w:autoSpaceDE/>
        <w:autoSpaceDN/>
        <w:bidi w:val="0"/>
        <w:spacing w:line="560" w:lineRule="exact"/>
        <w:ind w:left="604" w:leftChars="200" w:firstLine="604"/>
        <w:jc w:val="both"/>
        <w:rPr>
          <w:rFonts w:ascii="方正仿宋_GBK" w:hAnsi="方正仿宋_GBK"/>
        </w:rPr>
      </w:pPr>
      <w:r>
        <w:rPr>
          <w:rFonts w:hint="eastAsia" w:ascii="方正仿宋_GBK" w:hAnsi="方正仿宋_GBK"/>
        </w:rPr>
        <w:t>资产处置</w:t>
      </w:r>
    </w:p>
    <w:p>
      <w:pPr>
        <w:widowControl w:val="0"/>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资产处置应用于解决在资产运营中发生的资产处置业务。资产处置一般是指资产经营企业将报废的或者长期闲置不用的资产，通过出售、拆解等途径处理掉，以达到回收资金，减少经营风险的目的。应具备当发生资产处置时，制单人填写一张资产处置单并进行审核，审核通过后完成资产处置业务的功能。</w:t>
      </w:r>
    </w:p>
    <w:p>
      <w:pPr>
        <w:widowControl w:val="0"/>
        <w:numPr>
          <w:ilvl w:val="0"/>
          <w:numId w:val="40"/>
        </w:numPr>
        <w:kinsoku/>
        <w:wordWrap/>
        <w:topLinePunct w:val="0"/>
        <w:autoSpaceDE/>
        <w:autoSpaceDN/>
        <w:bidi w:val="0"/>
        <w:spacing w:line="560" w:lineRule="exact"/>
        <w:ind w:left="604" w:leftChars="200" w:firstLine="604"/>
        <w:jc w:val="both"/>
        <w:rPr>
          <w:rFonts w:ascii="方正仿宋_GBK" w:hAnsi="方正仿宋_GBK"/>
        </w:rPr>
      </w:pPr>
      <w:r>
        <w:rPr>
          <w:rFonts w:hint="eastAsia" w:ascii="方正仿宋_GBK" w:hAnsi="方正仿宋_GBK"/>
        </w:rPr>
        <w:t>资产置换</w:t>
      </w:r>
    </w:p>
    <w:p>
      <w:pPr>
        <w:widowControl w:val="0"/>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以优质资产或现金置换呆滞资产</w:t>
      </w:r>
      <w:r>
        <w:rPr>
          <w:rFonts w:hint="eastAsia" w:ascii="方正仿宋_GBK" w:hAnsi="方正仿宋_GBK"/>
          <w:lang w:eastAsia="zh-CN"/>
        </w:rPr>
        <w:t>，</w:t>
      </w:r>
      <w:r>
        <w:rPr>
          <w:rFonts w:hint="eastAsia" w:ascii="方正仿宋_GBK" w:hAnsi="方正仿宋_GBK"/>
        </w:rPr>
        <w:t>或以主营业务资产置换非主营业务资产等情况。资产置换后</w:t>
      </w:r>
      <w:r>
        <w:rPr>
          <w:rFonts w:hint="eastAsia" w:ascii="方正仿宋_GBK" w:hAnsi="方正仿宋_GBK"/>
          <w:lang w:eastAsia="zh-CN"/>
        </w:rPr>
        <w:t>，</w:t>
      </w:r>
      <w:r>
        <w:rPr>
          <w:rFonts w:hint="eastAsia" w:ascii="方正仿宋_GBK" w:hAnsi="方正仿宋_GBK"/>
        </w:rPr>
        <w:t>公司的产业结构将得以调整</w:t>
      </w:r>
      <w:r>
        <w:rPr>
          <w:rFonts w:hint="eastAsia" w:ascii="方正仿宋_GBK" w:hAnsi="方正仿宋_GBK"/>
          <w:lang w:eastAsia="zh-CN"/>
        </w:rPr>
        <w:t>，</w:t>
      </w:r>
      <w:r>
        <w:rPr>
          <w:rFonts w:hint="eastAsia" w:ascii="方正仿宋_GBK" w:hAnsi="方正仿宋_GBK"/>
        </w:rPr>
        <w:t>资产状况将得以改善。</w:t>
      </w:r>
    </w:p>
    <w:p>
      <w:pPr>
        <w:pStyle w:val="8"/>
        <w:kinsoku/>
        <w:wordWrap/>
        <w:topLinePunct w:val="0"/>
        <w:autoSpaceDE/>
        <w:autoSpaceDN/>
        <w:bidi w:val="0"/>
        <w:spacing w:before="198" w:after="198" w:line="560" w:lineRule="exact"/>
      </w:pPr>
      <w:r>
        <w:rPr>
          <w:rFonts w:hint="eastAsia"/>
        </w:rPr>
        <w:t>资产分析</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资产可以按产权人、区域、种类、金额等进行自动分类分析汇总，通过资产指标体系的建立，建立考核指标KPI，为决策层提供管理依据。</w:t>
      </w:r>
    </w:p>
    <w:p>
      <w:pPr>
        <w:widowControl w:val="0"/>
        <w:numPr>
          <w:ilvl w:val="0"/>
          <w:numId w:val="41"/>
        </w:numPr>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资产分布图</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资产分布图通过跟地图结合，以图形化的方式展示资产的地理位置、详细信息。支持按照区域，资产位置，资产类别，资产编号名称查询统计，支持从地图联查到资产。</w:t>
      </w:r>
    </w:p>
    <w:p>
      <w:pPr>
        <w:widowControl w:val="0"/>
        <w:numPr>
          <w:ilvl w:val="0"/>
          <w:numId w:val="41"/>
        </w:numPr>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资产查阅</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支持多维度查询条件查询知识，支持保存查询方案，查询结果支持导出，打印，自定义显示格式，支持联查发布的知识内容。</w:t>
      </w:r>
    </w:p>
    <w:p>
      <w:pPr>
        <w:pStyle w:val="7"/>
        <w:kinsoku/>
        <w:wordWrap/>
        <w:topLinePunct w:val="0"/>
        <w:autoSpaceDE/>
        <w:autoSpaceDN/>
        <w:bidi w:val="0"/>
        <w:spacing w:before="198" w:after="198" w:line="560" w:lineRule="exact"/>
        <w:rPr>
          <w:rFonts w:hint="default"/>
        </w:rPr>
      </w:pPr>
      <w:r>
        <w:t>安全环保</w:t>
      </w:r>
    </w:p>
    <w:p>
      <w:pPr>
        <w:kinsoku/>
        <w:wordWrap/>
        <w:topLinePunct w:val="0"/>
        <w:autoSpaceDE/>
        <w:autoSpaceDN/>
        <w:bidi w:val="0"/>
        <w:spacing w:line="560" w:lineRule="exact"/>
        <w:ind w:firstLine="604"/>
        <w:rPr>
          <w:rFonts w:ascii="方正仿宋_GBK" w:hAnsi="方正仿宋_GBK"/>
          <w:spacing w:val="10"/>
        </w:rPr>
      </w:pPr>
      <w:r>
        <w:rPr>
          <w:rFonts w:hint="eastAsia" w:ascii="方正仿宋_GBK" w:hAnsi="方正仿宋_GBK"/>
          <w:snapToGrid w:val="0"/>
        </w:rPr>
        <w:t>建立安全生产、环保业务管理系统，实现安全生产报表的填写、任务的制定管理和下达、企业安全状况的动态监控、安全资料的查询等事项的管理，使农投集团能够及时、准确的获取信息，以便</w:t>
      </w:r>
      <w:r>
        <w:rPr>
          <w:rFonts w:hint="eastAsia" w:ascii="方正仿宋_GBK" w:hAnsi="方正仿宋_GBK"/>
          <w:snapToGrid w:val="0"/>
          <w:lang w:eastAsia="zh-CN"/>
        </w:rPr>
        <w:t>更好地对</w:t>
      </w:r>
      <w:r>
        <w:rPr>
          <w:rFonts w:hint="eastAsia" w:ascii="方正仿宋_GBK" w:hAnsi="方正仿宋_GBK"/>
          <w:snapToGrid w:val="0"/>
        </w:rPr>
        <w:t>安全生产工作进行统筹布局、实时监控以及负责人员进行工作安排。</w:t>
      </w:r>
    </w:p>
    <w:p>
      <w:pPr>
        <w:pStyle w:val="8"/>
        <w:kinsoku/>
        <w:wordWrap/>
        <w:topLinePunct w:val="0"/>
        <w:autoSpaceDE/>
        <w:autoSpaceDN/>
        <w:bidi w:val="0"/>
        <w:spacing w:before="198" w:after="198" w:line="560" w:lineRule="exact"/>
      </w:pPr>
      <w:r>
        <w:rPr>
          <w:rFonts w:hint="eastAsia"/>
          <w:lang w:val="en-US" w:eastAsia="zh-CN"/>
        </w:rPr>
        <w:t>安全环保组织机构体系</w:t>
      </w:r>
    </w:p>
    <w:p>
      <w:pPr>
        <w:pStyle w:val="2"/>
        <w:kinsoku/>
        <w:wordWrap/>
        <w:topLinePunct w:val="0"/>
        <w:autoSpaceDE/>
        <w:autoSpaceDN/>
        <w:bidi w:val="0"/>
        <w:spacing w:line="560" w:lineRule="exact"/>
        <w:rPr>
          <w:rFonts w:hint="eastAsia"/>
        </w:rPr>
      </w:pPr>
      <w:r>
        <w:rPr>
          <w:rFonts w:hint="eastAsia"/>
          <w:lang w:val="en-US" w:eastAsia="zh-CN"/>
        </w:rPr>
        <w:t>1.</w:t>
      </w:r>
      <w:r>
        <w:rPr>
          <w:rFonts w:hint="eastAsia"/>
        </w:rPr>
        <w:t>责任体系</w:t>
      </w:r>
    </w:p>
    <w:p>
      <w:pPr>
        <w:pStyle w:val="2"/>
        <w:kinsoku/>
        <w:wordWrap/>
        <w:topLinePunct w:val="0"/>
        <w:autoSpaceDE/>
        <w:autoSpaceDN/>
        <w:bidi w:val="0"/>
        <w:spacing w:line="560" w:lineRule="exact"/>
        <w:rPr>
          <w:rFonts w:hint="eastAsia"/>
        </w:rPr>
      </w:pPr>
      <w:r>
        <w:rPr>
          <w:rFonts w:hint="eastAsia"/>
          <w:lang w:eastAsia="zh-CN"/>
        </w:rPr>
        <w:t>（</w:t>
      </w:r>
      <w:r>
        <w:rPr>
          <w:rFonts w:hint="eastAsia"/>
          <w:lang w:val="en-US" w:eastAsia="zh-CN"/>
        </w:rPr>
        <w:t>1</w:t>
      </w:r>
      <w:r>
        <w:rPr>
          <w:rFonts w:hint="eastAsia"/>
          <w:lang w:eastAsia="zh-CN"/>
        </w:rPr>
        <w:t>）</w:t>
      </w:r>
      <w:r>
        <w:rPr>
          <w:rFonts w:hint="eastAsia"/>
        </w:rPr>
        <w:t>录入安全、环保领导机构；</w:t>
      </w:r>
    </w:p>
    <w:p>
      <w:pPr>
        <w:pStyle w:val="2"/>
        <w:kinsoku/>
        <w:wordWrap/>
        <w:topLinePunct w:val="0"/>
        <w:autoSpaceDE/>
        <w:autoSpaceDN/>
        <w:bidi w:val="0"/>
        <w:spacing w:line="560" w:lineRule="exact"/>
        <w:rPr>
          <w:rFonts w:hint="eastAsia"/>
        </w:rPr>
      </w:pPr>
      <w:r>
        <w:rPr>
          <w:rFonts w:hint="eastAsia"/>
          <w:lang w:eastAsia="zh-CN"/>
        </w:rPr>
        <w:t>（</w:t>
      </w:r>
      <w:r>
        <w:rPr>
          <w:rFonts w:hint="eastAsia"/>
          <w:lang w:val="en-US" w:eastAsia="zh-CN"/>
        </w:rPr>
        <w:t>2</w:t>
      </w:r>
      <w:r>
        <w:rPr>
          <w:rFonts w:hint="eastAsia"/>
          <w:lang w:eastAsia="zh-CN"/>
        </w:rPr>
        <w:t>）</w:t>
      </w:r>
      <w:r>
        <w:rPr>
          <w:rFonts w:hint="eastAsia"/>
        </w:rPr>
        <w:t>录入安全、环保管理机构；</w:t>
      </w:r>
    </w:p>
    <w:p>
      <w:pPr>
        <w:pStyle w:val="2"/>
        <w:kinsoku/>
        <w:wordWrap/>
        <w:topLinePunct w:val="0"/>
        <w:autoSpaceDE/>
        <w:autoSpaceDN/>
        <w:bidi w:val="0"/>
        <w:spacing w:line="560" w:lineRule="exact"/>
        <w:rPr>
          <w:rFonts w:hint="eastAsia"/>
        </w:rPr>
      </w:pPr>
      <w:r>
        <w:rPr>
          <w:rFonts w:hint="eastAsia"/>
          <w:lang w:eastAsia="zh-CN"/>
        </w:rPr>
        <w:t>（</w:t>
      </w:r>
      <w:r>
        <w:rPr>
          <w:rFonts w:hint="eastAsia"/>
          <w:lang w:val="en-US" w:eastAsia="zh-CN"/>
        </w:rPr>
        <w:t>3</w:t>
      </w:r>
      <w:r>
        <w:rPr>
          <w:rFonts w:hint="eastAsia"/>
          <w:lang w:eastAsia="zh-CN"/>
        </w:rPr>
        <w:t>）</w:t>
      </w:r>
      <w:r>
        <w:rPr>
          <w:rFonts w:hint="eastAsia"/>
        </w:rPr>
        <w:t>录入安全、环保责任体系，并传达到各岗位。</w:t>
      </w:r>
    </w:p>
    <w:p>
      <w:pPr>
        <w:pStyle w:val="2"/>
        <w:kinsoku/>
        <w:wordWrap/>
        <w:topLinePunct w:val="0"/>
        <w:autoSpaceDE/>
        <w:autoSpaceDN/>
        <w:bidi w:val="0"/>
        <w:spacing w:line="560" w:lineRule="exact"/>
        <w:rPr>
          <w:rFonts w:hint="eastAsia"/>
        </w:rPr>
      </w:pPr>
      <w:r>
        <w:rPr>
          <w:rFonts w:hint="eastAsia"/>
          <w:lang w:val="en-US" w:eastAsia="zh-CN"/>
        </w:rPr>
        <w:t>2.</w:t>
      </w:r>
      <w:r>
        <w:rPr>
          <w:rFonts w:hint="eastAsia"/>
        </w:rPr>
        <w:t>履职管理</w:t>
      </w:r>
    </w:p>
    <w:p>
      <w:pPr>
        <w:pStyle w:val="2"/>
        <w:kinsoku/>
        <w:wordWrap/>
        <w:topLinePunct w:val="0"/>
        <w:autoSpaceDE/>
        <w:autoSpaceDN/>
        <w:bidi w:val="0"/>
        <w:spacing w:line="560" w:lineRule="exact"/>
        <w:rPr>
          <w:rFonts w:hint="eastAsia"/>
        </w:rPr>
      </w:pPr>
      <w:r>
        <w:rPr>
          <w:rFonts w:hint="eastAsia"/>
          <w:lang w:eastAsia="zh-CN"/>
        </w:rPr>
        <w:t>（</w:t>
      </w:r>
      <w:r>
        <w:rPr>
          <w:rFonts w:hint="eastAsia"/>
          <w:lang w:val="en-US" w:eastAsia="zh-CN"/>
        </w:rPr>
        <w:t>1</w:t>
      </w:r>
      <w:r>
        <w:rPr>
          <w:rFonts w:hint="eastAsia"/>
          <w:lang w:eastAsia="zh-CN"/>
        </w:rPr>
        <w:t>）</w:t>
      </w:r>
      <w:r>
        <w:rPr>
          <w:rFonts w:hint="eastAsia"/>
        </w:rPr>
        <w:t>企业主要负责人（董事长、总经理）履职情况每月录入系统，半年汇总通报；</w:t>
      </w:r>
    </w:p>
    <w:p>
      <w:pPr>
        <w:pStyle w:val="2"/>
        <w:kinsoku/>
        <w:wordWrap/>
        <w:topLinePunct w:val="0"/>
        <w:autoSpaceDE/>
        <w:autoSpaceDN/>
        <w:bidi w:val="0"/>
        <w:spacing w:line="560" w:lineRule="exact"/>
      </w:pPr>
      <w:r>
        <w:rPr>
          <w:rFonts w:hint="eastAsia"/>
          <w:lang w:eastAsia="zh-CN"/>
        </w:rPr>
        <w:t>（</w:t>
      </w:r>
      <w:r>
        <w:rPr>
          <w:rFonts w:hint="eastAsia"/>
          <w:lang w:val="en-US" w:eastAsia="zh-CN"/>
        </w:rPr>
        <w:t>2</w:t>
      </w:r>
      <w:r>
        <w:rPr>
          <w:rFonts w:hint="eastAsia"/>
          <w:lang w:eastAsia="zh-CN"/>
        </w:rPr>
        <w:t>）</w:t>
      </w:r>
      <w:r>
        <w:rPr>
          <w:rFonts w:hint="eastAsia"/>
        </w:rPr>
        <w:t>企业主要负责人（董事长、总经理）每年底向集团作安全环保专题书面述职</w:t>
      </w:r>
      <w:r>
        <w:rPr>
          <w:rFonts w:hint="eastAsia"/>
          <w:lang w:eastAsia="zh-CN"/>
        </w:rPr>
        <w:t>，</w:t>
      </w:r>
      <w:r>
        <w:rPr>
          <w:rFonts w:hint="eastAsia"/>
          <w:lang w:val="en-US" w:eastAsia="zh-CN"/>
        </w:rPr>
        <w:t>归档安全环保专题述职资料</w:t>
      </w:r>
      <w:r>
        <w:rPr>
          <w:rFonts w:hint="eastAsia"/>
        </w:rPr>
        <w:t>。</w:t>
      </w:r>
    </w:p>
    <w:p>
      <w:pPr>
        <w:pStyle w:val="8"/>
        <w:kinsoku/>
        <w:wordWrap/>
        <w:topLinePunct w:val="0"/>
        <w:autoSpaceDE/>
        <w:autoSpaceDN/>
        <w:bidi w:val="0"/>
        <w:spacing w:before="198" w:after="198" w:line="560" w:lineRule="exact"/>
      </w:pPr>
      <w:r>
        <w:rPr>
          <w:rFonts w:hint="eastAsia"/>
        </w:rPr>
        <w:t>安全</w:t>
      </w:r>
      <w:r>
        <w:rPr>
          <w:rFonts w:hint="eastAsia"/>
          <w:lang w:val="en-US" w:eastAsia="zh-CN"/>
        </w:rPr>
        <w:t>环保</w:t>
      </w:r>
      <w:r>
        <w:rPr>
          <w:rFonts w:hint="eastAsia"/>
        </w:rPr>
        <w:t>学习及会议</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促进安全</w:t>
      </w:r>
      <w:r>
        <w:rPr>
          <w:rFonts w:hint="eastAsia" w:ascii="方正仿宋_GBK" w:hAnsi="方正仿宋_GBK"/>
          <w:snapToGrid w:val="0"/>
          <w:lang w:val="en-US" w:eastAsia="zh-CN"/>
        </w:rPr>
        <w:t>环保</w:t>
      </w:r>
      <w:r>
        <w:rPr>
          <w:rFonts w:hint="eastAsia" w:ascii="方正仿宋_GBK" w:hAnsi="方正仿宋_GBK"/>
          <w:snapToGrid w:val="0"/>
        </w:rPr>
        <w:t>学习，实现安全</w:t>
      </w:r>
      <w:r>
        <w:rPr>
          <w:rFonts w:hint="eastAsia" w:ascii="方正仿宋_GBK" w:hAnsi="方正仿宋_GBK"/>
          <w:snapToGrid w:val="0"/>
          <w:lang w:val="en-US" w:eastAsia="zh-CN"/>
        </w:rPr>
        <w:t>环保</w:t>
      </w:r>
      <w:r>
        <w:rPr>
          <w:rFonts w:hint="eastAsia" w:ascii="方正仿宋_GBK" w:hAnsi="方正仿宋_GBK"/>
          <w:snapToGrid w:val="0"/>
        </w:rPr>
        <w:t>学习会议的自动化管理。包括安全</w:t>
      </w:r>
      <w:r>
        <w:rPr>
          <w:rFonts w:hint="eastAsia" w:ascii="方正仿宋_GBK" w:hAnsi="方正仿宋_GBK"/>
          <w:snapToGrid w:val="0"/>
          <w:lang w:val="en-US" w:eastAsia="zh-CN"/>
        </w:rPr>
        <w:t>环保</w:t>
      </w:r>
      <w:r>
        <w:rPr>
          <w:rFonts w:hint="eastAsia" w:ascii="方正仿宋_GBK" w:hAnsi="方正仿宋_GBK"/>
          <w:snapToGrid w:val="0"/>
        </w:rPr>
        <w:t>学习计划管理、线上培训、考试、会议管理、会议通知、查询统计等功能。其中安全</w:t>
      </w:r>
      <w:r>
        <w:rPr>
          <w:rFonts w:hint="eastAsia" w:ascii="方正仿宋_GBK" w:hAnsi="方正仿宋_GBK"/>
          <w:snapToGrid w:val="0"/>
          <w:lang w:val="en-US" w:eastAsia="zh-CN"/>
        </w:rPr>
        <w:t>环保</w:t>
      </w:r>
      <w:r>
        <w:rPr>
          <w:rFonts w:hint="eastAsia" w:ascii="方正仿宋_GBK" w:hAnsi="方正仿宋_GBK"/>
          <w:snapToGrid w:val="0"/>
        </w:rPr>
        <w:t>学习计划管理、线上培训、考试等关于学习、培训、考试的功能在数智化人力资源版块的培训管理、学习平台功能模块进行实现。会议管理、会议通知、查询统计等关于会议的功能在数智化协同办公版块进行实现。</w:t>
      </w:r>
    </w:p>
    <w:p>
      <w:pPr>
        <w:pStyle w:val="8"/>
        <w:kinsoku/>
        <w:wordWrap/>
        <w:topLinePunct w:val="0"/>
        <w:autoSpaceDE/>
        <w:autoSpaceDN/>
        <w:bidi w:val="0"/>
        <w:spacing w:before="198" w:after="198" w:line="560" w:lineRule="exact"/>
      </w:pPr>
      <w:r>
        <w:rPr>
          <w:rFonts w:hint="eastAsia"/>
        </w:rPr>
        <w:t>安全</w:t>
      </w:r>
      <w:r>
        <w:rPr>
          <w:rFonts w:hint="eastAsia"/>
          <w:lang w:val="en-US" w:eastAsia="zh-CN"/>
        </w:rPr>
        <w:t>环保</w:t>
      </w:r>
      <w:r>
        <w:rPr>
          <w:rFonts w:hint="eastAsia"/>
        </w:rPr>
        <w:t>制度</w:t>
      </w:r>
    </w:p>
    <w:p>
      <w:pPr>
        <w:kinsoku/>
        <w:wordWrap/>
        <w:topLinePunct w:val="0"/>
        <w:autoSpaceDE/>
        <w:autoSpaceDN/>
        <w:bidi w:val="0"/>
        <w:spacing w:line="560" w:lineRule="exact"/>
        <w:ind w:firstLine="604"/>
        <w:rPr>
          <w:rFonts w:hint="eastAsia" w:ascii="方正仿宋_GBK" w:hAnsi="方正仿宋_GBK"/>
          <w:snapToGrid w:val="0"/>
        </w:rPr>
      </w:pPr>
      <w:r>
        <w:rPr>
          <w:rFonts w:hint="eastAsia" w:ascii="方正仿宋_GBK" w:hAnsi="方正仿宋_GBK"/>
          <w:snapToGrid w:val="0"/>
        </w:rPr>
        <w:t>集团及企业安全、环保制度、操作规程的建立、归档，便于线上查询和学习。</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在线上进行安全</w:t>
      </w:r>
      <w:r>
        <w:rPr>
          <w:rFonts w:hint="eastAsia" w:ascii="方正仿宋_GBK" w:hAnsi="方正仿宋_GBK"/>
          <w:snapToGrid w:val="0"/>
          <w:lang w:val="en-US" w:eastAsia="zh-CN"/>
        </w:rPr>
        <w:t>环保</w:t>
      </w:r>
      <w:r>
        <w:rPr>
          <w:rFonts w:hint="eastAsia" w:ascii="方正仿宋_GBK" w:hAnsi="方正仿宋_GBK"/>
          <w:snapToGrid w:val="0"/>
        </w:rPr>
        <w:t>制度管理，包括安全</w:t>
      </w:r>
      <w:r>
        <w:rPr>
          <w:rFonts w:hint="eastAsia" w:ascii="方正仿宋_GBK" w:hAnsi="方正仿宋_GBK"/>
          <w:snapToGrid w:val="0"/>
          <w:lang w:val="en-US" w:eastAsia="zh-CN"/>
        </w:rPr>
        <w:t>环保</w:t>
      </w:r>
      <w:r>
        <w:rPr>
          <w:rFonts w:hint="eastAsia" w:ascii="方正仿宋_GBK" w:hAnsi="方正仿宋_GBK"/>
          <w:snapToGrid w:val="0"/>
        </w:rPr>
        <w:t>制度的编辑、修改、审批、公示等一系列流程。</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提供文件夹的建立，文件的建立修改和查询，支持</w:t>
      </w:r>
      <w:r>
        <w:rPr>
          <w:rFonts w:hint="eastAsia" w:ascii="方正仿宋_GBK" w:hAnsi="方正仿宋_GBK"/>
          <w:snapToGrid w:val="0"/>
        </w:rPr>
        <w:t>安全</w:t>
      </w:r>
      <w:r>
        <w:rPr>
          <w:rFonts w:hint="eastAsia" w:ascii="方正仿宋_GBK" w:hAnsi="方正仿宋_GBK"/>
          <w:snapToGrid w:val="0"/>
          <w:lang w:val="en-US" w:eastAsia="zh-CN"/>
        </w:rPr>
        <w:t>环保</w:t>
      </w:r>
      <w:r>
        <w:rPr>
          <w:rFonts w:hint="eastAsia" w:ascii="方正仿宋_GBK" w:hAnsi="方正仿宋_GBK"/>
        </w:rPr>
        <w:t>制度文档和信息共享给其他人员，其他人员可以通过共享安全文件夹查看到共享的</w:t>
      </w:r>
      <w:r>
        <w:rPr>
          <w:rFonts w:hint="eastAsia" w:ascii="方正仿宋_GBK" w:hAnsi="方正仿宋_GBK"/>
          <w:snapToGrid w:val="0"/>
        </w:rPr>
        <w:t>安全</w:t>
      </w:r>
      <w:r>
        <w:rPr>
          <w:rFonts w:hint="eastAsia" w:ascii="方正仿宋_GBK" w:hAnsi="方正仿宋_GBK"/>
          <w:snapToGrid w:val="0"/>
          <w:lang w:val="en-US" w:eastAsia="zh-CN"/>
        </w:rPr>
        <w:t>环保</w:t>
      </w:r>
      <w:r>
        <w:rPr>
          <w:rFonts w:hint="eastAsia" w:ascii="方正仿宋_GBK" w:hAnsi="方正仿宋_GBK"/>
        </w:rPr>
        <w:t>制度文档和信息，但是不能删除，可以随时取消资料的共享。</w:t>
      </w:r>
    </w:p>
    <w:p>
      <w:pPr>
        <w:pStyle w:val="8"/>
        <w:kinsoku/>
        <w:wordWrap/>
        <w:topLinePunct w:val="0"/>
        <w:autoSpaceDE/>
        <w:autoSpaceDN/>
        <w:bidi w:val="0"/>
        <w:spacing w:before="198" w:after="198" w:line="560" w:lineRule="exact"/>
      </w:pPr>
      <w:r>
        <w:rPr>
          <w:rFonts w:hint="eastAsia"/>
          <w:lang w:val="en-US" w:eastAsia="zh-CN"/>
        </w:rPr>
        <w:t>安全环保风险管理</w:t>
      </w:r>
    </w:p>
    <w:p>
      <w:pPr>
        <w:pStyle w:val="2"/>
        <w:kinsoku/>
        <w:wordWrap/>
        <w:topLinePunct w:val="0"/>
        <w:autoSpaceDE/>
        <w:autoSpaceDN/>
        <w:bidi w:val="0"/>
        <w:spacing w:line="560" w:lineRule="exact"/>
        <w:rPr>
          <w:rFonts w:hint="eastAsia"/>
        </w:rPr>
      </w:pPr>
      <w:r>
        <w:rPr>
          <w:rFonts w:hint="eastAsia"/>
        </w:rPr>
        <w:t>1</w:t>
      </w:r>
      <w:r>
        <w:rPr>
          <w:rFonts w:hint="eastAsia"/>
          <w:lang w:eastAsia="zh-CN"/>
        </w:rPr>
        <w:t>.</w:t>
      </w:r>
      <w:r>
        <w:rPr>
          <w:rFonts w:hint="eastAsia"/>
        </w:rPr>
        <w:t>提醒企业定期开展安全、环保风险全面辨识评估；</w:t>
      </w:r>
    </w:p>
    <w:p>
      <w:pPr>
        <w:pStyle w:val="2"/>
        <w:kinsoku/>
        <w:wordWrap/>
        <w:topLinePunct w:val="0"/>
        <w:autoSpaceDE/>
        <w:autoSpaceDN/>
        <w:bidi w:val="0"/>
        <w:spacing w:line="560" w:lineRule="exact"/>
        <w:rPr>
          <w:rFonts w:hint="eastAsia"/>
        </w:rPr>
      </w:pPr>
      <w:r>
        <w:rPr>
          <w:rFonts w:hint="eastAsia"/>
        </w:rPr>
        <w:t>2</w:t>
      </w:r>
      <w:r>
        <w:rPr>
          <w:rFonts w:hint="eastAsia"/>
          <w:lang w:eastAsia="zh-CN"/>
        </w:rPr>
        <w:t>.</w:t>
      </w:r>
      <w:r>
        <w:rPr>
          <w:rFonts w:hint="eastAsia"/>
        </w:rPr>
        <w:t>将安全、环保风险点位分级录入系统，制定安全风险分级管控措施；</w:t>
      </w:r>
    </w:p>
    <w:p>
      <w:pPr>
        <w:pStyle w:val="2"/>
        <w:kinsoku/>
        <w:wordWrap/>
        <w:topLinePunct w:val="0"/>
        <w:autoSpaceDE/>
        <w:autoSpaceDN/>
        <w:bidi w:val="0"/>
        <w:spacing w:line="560" w:lineRule="exact"/>
        <w:rPr>
          <w:rFonts w:hint="eastAsia"/>
        </w:rPr>
      </w:pPr>
      <w:r>
        <w:rPr>
          <w:rFonts w:hint="eastAsia"/>
        </w:rPr>
        <w:t>3</w:t>
      </w:r>
      <w:r>
        <w:rPr>
          <w:rFonts w:hint="eastAsia"/>
          <w:lang w:eastAsia="zh-CN"/>
        </w:rPr>
        <w:t>.</w:t>
      </w:r>
      <w:r>
        <w:rPr>
          <w:rFonts w:hint="eastAsia"/>
          <w:lang w:val="en-US" w:eastAsia="zh-CN"/>
        </w:rPr>
        <w:t>录入</w:t>
      </w:r>
      <w:r>
        <w:rPr>
          <w:rFonts w:hint="eastAsia"/>
        </w:rPr>
        <w:t>各项风险责任人，并将管控措施传达到各责任人；存在重大风险、重大隐患的企业明确厂长经理管理层、部门技术层、车间班组操作层“三个层级负责人”；</w:t>
      </w:r>
    </w:p>
    <w:p>
      <w:pPr>
        <w:pStyle w:val="2"/>
        <w:kinsoku/>
        <w:wordWrap/>
        <w:topLinePunct w:val="0"/>
        <w:autoSpaceDE/>
        <w:autoSpaceDN/>
        <w:bidi w:val="0"/>
        <w:spacing w:line="560" w:lineRule="exact"/>
        <w:rPr>
          <w:rFonts w:hint="eastAsia"/>
        </w:rPr>
      </w:pPr>
      <w:r>
        <w:rPr>
          <w:rFonts w:hint="eastAsia"/>
        </w:rPr>
        <w:t>4</w:t>
      </w:r>
      <w:r>
        <w:rPr>
          <w:rFonts w:hint="eastAsia"/>
          <w:lang w:eastAsia="zh-CN"/>
        </w:rPr>
        <w:t>.</w:t>
      </w:r>
      <w:r>
        <w:rPr>
          <w:rFonts w:hint="eastAsia"/>
        </w:rPr>
        <w:t>企业定期在系统中反馈各风险点位是否处于受控状态；</w:t>
      </w:r>
    </w:p>
    <w:p>
      <w:pPr>
        <w:pStyle w:val="2"/>
        <w:kinsoku/>
        <w:wordWrap/>
        <w:topLinePunct w:val="0"/>
        <w:autoSpaceDE/>
        <w:autoSpaceDN/>
        <w:bidi w:val="0"/>
        <w:spacing w:line="560" w:lineRule="exact"/>
      </w:pPr>
      <w:r>
        <w:rPr>
          <w:rFonts w:hint="eastAsia"/>
        </w:rPr>
        <w:t>5</w:t>
      </w:r>
      <w:r>
        <w:rPr>
          <w:rFonts w:hint="eastAsia"/>
          <w:lang w:eastAsia="zh-CN"/>
        </w:rPr>
        <w:t>.</w:t>
      </w:r>
      <w:r>
        <w:rPr>
          <w:rFonts w:hint="eastAsia"/>
        </w:rPr>
        <w:t>风险预警发布、提示功能。</w:t>
      </w:r>
    </w:p>
    <w:p>
      <w:pPr>
        <w:pStyle w:val="8"/>
        <w:kinsoku/>
        <w:wordWrap/>
        <w:topLinePunct w:val="0"/>
        <w:autoSpaceDE/>
        <w:autoSpaceDN/>
        <w:bidi w:val="0"/>
        <w:spacing w:before="198" w:after="198" w:line="560" w:lineRule="exact"/>
      </w:pPr>
      <w:r>
        <w:rPr>
          <w:rFonts w:hint="eastAsia"/>
        </w:rPr>
        <w:t>安全</w:t>
      </w:r>
      <w:r>
        <w:rPr>
          <w:rFonts w:hint="eastAsia"/>
          <w:lang w:val="en-US" w:eastAsia="zh-CN"/>
        </w:rPr>
        <w:t>环保</w:t>
      </w:r>
      <w:r>
        <w:rPr>
          <w:rFonts w:hint="eastAsia"/>
        </w:rPr>
        <w:t>检查</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在系统中根据需求预置安全</w:t>
      </w:r>
      <w:r>
        <w:rPr>
          <w:rFonts w:hint="eastAsia" w:ascii="方正仿宋_GBK" w:hAnsi="方正仿宋_GBK"/>
          <w:snapToGrid w:val="0"/>
          <w:lang w:eastAsia="zh-CN"/>
        </w:rPr>
        <w:t>、</w:t>
      </w:r>
      <w:r>
        <w:rPr>
          <w:rFonts w:hint="eastAsia" w:ascii="方正仿宋_GBK" w:hAnsi="方正仿宋_GBK"/>
          <w:snapToGrid w:val="0"/>
          <w:lang w:val="en-US" w:eastAsia="zh-CN"/>
        </w:rPr>
        <w:t>环保</w:t>
      </w:r>
      <w:r>
        <w:rPr>
          <w:rFonts w:hint="eastAsia" w:ascii="方正仿宋_GBK" w:hAnsi="方正仿宋_GBK"/>
          <w:snapToGrid w:val="0"/>
        </w:rPr>
        <w:t>检查表格，下属企业根据要求进行填报，并定期进行安全环保</w:t>
      </w:r>
      <w:r>
        <w:rPr>
          <w:rFonts w:hint="eastAsia" w:ascii="方正仿宋_GBK" w:hAnsi="方正仿宋_GBK"/>
          <w:snapToGrid w:val="0"/>
          <w:lang w:val="en-US" w:eastAsia="zh-CN"/>
        </w:rPr>
        <w:t>检查信息</w:t>
      </w:r>
      <w:r>
        <w:rPr>
          <w:rFonts w:hint="eastAsia" w:ascii="方正仿宋_GBK" w:hAnsi="方正仿宋_GBK"/>
          <w:snapToGrid w:val="0"/>
        </w:rPr>
        <w:t>报送，保证集团及下属企业的安全环保监管。</w:t>
      </w:r>
    </w:p>
    <w:p>
      <w:pPr>
        <w:pStyle w:val="8"/>
        <w:kinsoku/>
        <w:wordWrap/>
        <w:topLinePunct w:val="0"/>
        <w:autoSpaceDE/>
        <w:autoSpaceDN/>
        <w:bidi w:val="0"/>
        <w:spacing w:before="198" w:after="198" w:line="560" w:lineRule="exact"/>
      </w:pPr>
      <w:r>
        <w:rPr>
          <w:rFonts w:hint="eastAsia"/>
        </w:rPr>
        <w:t>现场监控</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高危作业的过程监控，所出资企业重点现场能实时接入功能，查询到接入设备的列表以及查看监控视频，加强集团安全管控能力，本次预留对接接口。</w:t>
      </w:r>
    </w:p>
    <w:p>
      <w:pPr>
        <w:pStyle w:val="8"/>
        <w:kinsoku/>
        <w:wordWrap/>
        <w:topLinePunct w:val="0"/>
        <w:autoSpaceDE/>
        <w:autoSpaceDN/>
        <w:bidi w:val="0"/>
        <w:spacing w:before="198" w:after="198" w:line="560" w:lineRule="exact"/>
      </w:pPr>
      <w:r>
        <w:rPr>
          <w:rFonts w:hint="eastAsia"/>
          <w:lang w:val="en-US" w:eastAsia="zh-CN"/>
        </w:rPr>
        <w:t>安全隐患排查治理</w:t>
      </w:r>
    </w:p>
    <w:p>
      <w:pPr>
        <w:kinsoku/>
        <w:wordWrap/>
        <w:topLinePunct w:val="0"/>
        <w:autoSpaceDE/>
        <w:autoSpaceDN/>
        <w:bidi w:val="0"/>
        <w:spacing w:line="560" w:lineRule="exact"/>
        <w:ind w:firstLine="604"/>
        <w:rPr>
          <w:rFonts w:hint="eastAsia" w:ascii="方正仿宋_GBK" w:hAnsi="方正仿宋_GBK"/>
          <w:snapToGrid w:val="0"/>
        </w:rPr>
      </w:pPr>
      <w:r>
        <w:rPr>
          <w:rFonts w:hint="eastAsia" w:ascii="方正仿宋_GBK" w:hAnsi="方正仿宋_GBK"/>
          <w:snapToGrid w:val="0"/>
        </w:rPr>
        <w:t>1</w:t>
      </w:r>
      <w:r>
        <w:rPr>
          <w:rFonts w:hint="eastAsia" w:ascii="方正仿宋_GBK" w:hAnsi="方正仿宋_GBK"/>
          <w:snapToGrid w:val="0"/>
          <w:lang w:eastAsia="zh-CN"/>
        </w:rPr>
        <w:t>.</w:t>
      </w:r>
      <w:r>
        <w:rPr>
          <w:rFonts w:hint="eastAsia" w:ascii="方正仿宋_GBK" w:hAnsi="方正仿宋_GBK"/>
          <w:snapToGrid w:val="0"/>
        </w:rPr>
        <w:t>企业隐患排查整改管理功能</w:t>
      </w:r>
    </w:p>
    <w:p>
      <w:pPr>
        <w:kinsoku/>
        <w:wordWrap/>
        <w:topLinePunct w:val="0"/>
        <w:autoSpaceDE/>
        <w:autoSpaceDN/>
        <w:bidi w:val="0"/>
        <w:spacing w:line="560" w:lineRule="exact"/>
        <w:ind w:firstLine="604"/>
        <w:rPr>
          <w:rFonts w:hint="eastAsia" w:ascii="方正仿宋_GBK" w:hAnsi="方正仿宋_GBK"/>
          <w:snapToGrid w:val="0"/>
        </w:rPr>
      </w:pPr>
      <w:r>
        <w:rPr>
          <w:rFonts w:hint="eastAsia" w:ascii="方正仿宋_GBK" w:hAnsi="方正仿宋_GBK"/>
          <w:snapToGrid w:val="0"/>
          <w:lang w:eastAsia="zh-CN"/>
        </w:rPr>
        <w:t>（</w:t>
      </w:r>
      <w:r>
        <w:rPr>
          <w:rFonts w:hint="eastAsia" w:ascii="方正仿宋_GBK" w:hAnsi="方正仿宋_GBK"/>
          <w:snapToGrid w:val="0"/>
          <w:lang w:val="en-US" w:eastAsia="zh-CN"/>
        </w:rPr>
        <w:t>1</w:t>
      </w:r>
      <w:r>
        <w:rPr>
          <w:rFonts w:hint="eastAsia" w:ascii="方正仿宋_GBK" w:hAnsi="方正仿宋_GBK"/>
          <w:snapToGrid w:val="0"/>
          <w:lang w:eastAsia="zh-CN"/>
        </w:rPr>
        <w:t>）</w:t>
      </w:r>
      <w:r>
        <w:rPr>
          <w:rFonts w:hint="eastAsia" w:ascii="方正仿宋_GBK" w:hAnsi="方正仿宋_GBK"/>
          <w:snapToGrid w:val="0"/>
        </w:rPr>
        <w:t>提醒企业开展“日周月”排查，班前检查、班中检查、班后检查等；</w:t>
      </w:r>
    </w:p>
    <w:p>
      <w:pPr>
        <w:kinsoku/>
        <w:wordWrap/>
        <w:topLinePunct w:val="0"/>
        <w:autoSpaceDE/>
        <w:autoSpaceDN/>
        <w:bidi w:val="0"/>
        <w:spacing w:line="560" w:lineRule="exact"/>
        <w:ind w:firstLine="604"/>
        <w:rPr>
          <w:rFonts w:hint="eastAsia" w:ascii="方正仿宋_GBK" w:hAnsi="方正仿宋_GBK"/>
          <w:snapToGrid w:val="0"/>
        </w:rPr>
      </w:pPr>
      <w:r>
        <w:rPr>
          <w:rFonts w:hint="eastAsia" w:ascii="方正仿宋_GBK" w:hAnsi="方正仿宋_GBK"/>
          <w:snapToGrid w:val="0"/>
          <w:lang w:eastAsia="zh-CN"/>
        </w:rPr>
        <w:t>（</w:t>
      </w:r>
      <w:r>
        <w:rPr>
          <w:rFonts w:hint="eastAsia" w:ascii="方正仿宋_GBK" w:hAnsi="方正仿宋_GBK"/>
          <w:snapToGrid w:val="0"/>
          <w:lang w:val="en-US" w:eastAsia="zh-CN"/>
        </w:rPr>
        <w:t>2</w:t>
      </w:r>
      <w:r>
        <w:rPr>
          <w:rFonts w:hint="eastAsia" w:ascii="方正仿宋_GBK" w:hAnsi="方正仿宋_GBK"/>
          <w:snapToGrid w:val="0"/>
          <w:lang w:eastAsia="zh-CN"/>
        </w:rPr>
        <w:t>）</w:t>
      </w:r>
      <w:r>
        <w:rPr>
          <w:rFonts w:hint="eastAsia" w:ascii="方正仿宋_GBK" w:hAnsi="方正仿宋_GBK"/>
          <w:snapToGrid w:val="0"/>
        </w:rPr>
        <w:t>企业制定安全、环保隐患排查清单，并传达到各岗位人员；</w:t>
      </w:r>
    </w:p>
    <w:p>
      <w:pPr>
        <w:kinsoku/>
        <w:wordWrap/>
        <w:topLinePunct w:val="0"/>
        <w:autoSpaceDE/>
        <w:autoSpaceDN/>
        <w:bidi w:val="0"/>
        <w:spacing w:line="560" w:lineRule="exact"/>
        <w:ind w:firstLine="604"/>
        <w:rPr>
          <w:rFonts w:hint="eastAsia" w:ascii="方正仿宋_GBK" w:hAnsi="方正仿宋_GBK"/>
          <w:snapToGrid w:val="0"/>
        </w:rPr>
      </w:pPr>
      <w:r>
        <w:rPr>
          <w:rFonts w:hint="eastAsia" w:ascii="方正仿宋_GBK" w:hAnsi="方正仿宋_GBK"/>
          <w:snapToGrid w:val="0"/>
          <w:lang w:eastAsia="zh-CN"/>
        </w:rPr>
        <w:t>（</w:t>
      </w:r>
      <w:r>
        <w:rPr>
          <w:rFonts w:hint="eastAsia" w:ascii="方正仿宋_GBK" w:hAnsi="方正仿宋_GBK"/>
          <w:snapToGrid w:val="0"/>
          <w:lang w:val="en-US" w:eastAsia="zh-CN"/>
        </w:rPr>
        <w:t>3</w:t>
      </w:r>
      <w:r>
        <w:rPr>
          <w:rFonts w:hint="eastAsia" w:ascii="方正仿宋_GBK" w:hAnsi="方正仿宋_GBK"/>
          <w:snapToGrid w:val="0"/>
          <w:lang w:eastAsia="zh-CN"/>
        </w:rPr>
        <w:t>）</w:t>
      </w:r>
      <w:r>
        <w:rPr>
          <w:rFonts w:hint="eastAsia" w:ascii="方正仿宋_GBK" w:hAnsi="方正仿宋_GBK"/>
          <w:snapToGrid w:val="0"/>
        </w:rPr>
        <w:t>将排查隐患上传到系统，建立整改责任台账，并经审批后传达到各整改责任人；</w:t>
      </w:r>
    </w:p>
    <w:p>
      <w:pPr>
        <w:kinsoku/>
        <w:wordWrap/>
        <w:topLinePunct w:val="0"/>
        <w:autoSpaceDE/>
        <w:autoSpaceDN/>
        <w:bidi w:val="0"/>
        <w:spacing w:line="560" w:lineRule="exact"/>
        <w:ind w:firstLine="604"/>
        <w:rPr>
          <w:rFonts w:hint="eastAsia" w:ascii="方正仿宋_GBK" w:hAnsi="方正仿宋_GBK"/>
          <w:snapToGrid w:val="0"/>
        </w:rPr>
      </w:pPr>
      <w:r>
        <w:rPr>
          <w:rFonts w:hint="eastAsia" w:ascii="方正仿宋_GBK" w:hAnsi="方正仿宋_GBK"/>
          <w:snapToGrid w:val="0"/>
          <w:lang w:eastAsia="zh-CN"/>
        </w:rPr>
        <w:t>（</w:t>
      </w:r>
      <w:r>
        <w:rPr>
          <w:rFonts w:hint="eastAsia" w:ascii="方正仿宋_GBK" w:hAnsi="方正仿宋_GBK"/>
          <w:snapToGrid w:val="0"/>
          <w:lang w:val="en-US" w:eastAsia="zh-CN"/>
        </w:rPr>
        <w:t>4</w:t>
      </w:r>
      <w:r>
        <w:rPr>
          <w:rFonts w:hint="eastAsia" w:ascii="方正仿宋_GBK" w:hAnsi="方正仿宋_GBK"/>
          <w:snapToGrid w:val="0"/>
          <w:lang w:eastAsia="zh-CN"/>
        </w:rPr>
        <w:t>）</w:t>
      </w:r>
      <w:r>
        <w:rPr>
          <w:rFonts w:hint="eastAsia" w:ascii="方正仿宋_GBK" w:hAnsi="方正仿宋_GBK"/>
          <w:snapToGrid w:val="0"/>
        </w:rPr>
        <w:t>各整改责任人将整改、验收情况上传到系统，形成闭环；</w:t>
      </w:r>
    </w:p>
    <w:p>
      <w:pPr>
        <w:kinsoku/>
        <w:wordWrap/>
        <w:topLinePunct w:val="0"/>
        <w:autoSpaceDE/>
        <w:autoSpaceDN/>
        <w:bidi w:val="0"/>
        <w:spacing w:line="560" w:lineRule="exact"/>
        <w:ind w:firstLine="604"/>
        <w:rPr>
          <w:rFonts w:hint="eastAsia" w:ascii="方正仿宋_GBK" w:hAnsi="方正仿宋_GBK"/>
          <w:snapToGrid w:val="0"/>
        </w:rPr>
      </w:pPr>
      <w:r>
        <w:rPr>
          <w:rFonts w:hint="eastAsia" w:ascii="方正仿宋_GBK" w:hAnsi="方正仿宋_GBK"/>
          <w:snapToGrid w:val="0"/>
          <w:lang w:eastAsia="zh-CN"/>
        </w:rPr>
        <w:t>（</w:t>
      </w:r>
      <w:r>
        <w:rPr>
          <w:rFonts w:hint="eastAsia" w:ascii="方正仿宋_GBK" w:hAnsi="方正仿宋_GBK"/>
          <w:snapToGrid w:val="0"/>
          <w:lang w:val="en-US" w:eastAsia="zh-CN"/>
        </w:rPr>
        <w:t>5</w:t>
      </w:r>
      <w:r>
        <w:rPr>
          <w:rFonts w:hint="eastAsia" w:ascii="方正仿宋_GBK" w:hAnsi="方正仿宋_GBK"/>
          <w:snapToGrid w:val="0"/>
          <w:lang w:eastAsia="zh-CN"/>
        </w:rPr>
        <w:t>）</w:t>
      </w:r>
      <w:r>
        <w:rPr>
          <w:rFonts w:hint="eastAsia" w:ascii="方正仿宋_GBK" w:hAnsi="方正仿宋_GBK"/>
          <w:snapToGrid w:val="0"/>
        </w:rPr>
        <w:t>重大隐患上报集团；</w:t>
      </w:r>
    </w:p>
    <w:p>
      <w:pPr>
        <w:kinsoku/>
        <w:wordWrap/>
        <w:topLinePunct w:val="0"/>
        <w:autoSpaceDE/>
        <w:autoSpaceDN/>
        <w:bidi w:val="0"/>
        <w:spacing w:line="560" w:lineRule="exact"/>
        <w:ind w:firstLine="604"/>
        <w:rPr>
          <w:rFonts w:hint="eastAsia" w:ascii="方正仿宋_GBK" w:hAnsi="方正仿宋_GBK"/>
          <w:snapToGrid w:val="0"/>
        </w:rPr>
      </w:pPr>
      <w:r>
        <w:rPr>
          <w:rFonts w:hint="eastAsia" w:ascii="方正仿宋_GBK" w:hAnsi="方正仿宋_GBK"/>
          <w:snapToGrid w:val="0"/>
          <w:lang w:eastAsia="zh-CN"/>
        </w:rPr>
        <w:t>（</w:t>
      </w:r>
      <w:r>
        <w:rPr>
          <w:rFonts w:hint="eastAsia" w:ascii="方正仿宋_GBK" w:hAnsi="方正仿宋_GBK"/>
          <w:snapToGrid w:val="0"/>
          <w:lang w:val="en-US" w:eastAsia="zh-CN"/>
        </w:rPr>
        <w:t>6</w:t>
      </w:r>
      <w:r>
        <w:rPr>
          <w:rFonts w:hint="eastAsia" w:ascii="方正仿宋_GBK" w:hAnsi="方正仿宋_GBK"/>
          <w:snapToGrid w:val="0"/>
          <w:lang w:eastAsia="zh-CN"/>
        </w:rPr>
        <w:t>）</w:t>
      </w:r>
      <w:r>
        <w:rPr>
          <w:rFonts w:hint="eastAsia" w:ascii="方正仿宋_GBK" w:hAnsi="方正仿宋_GBK"/>
          <w:snapToGrid w:val="0"/>
        </w:rPr>
        <w:t>统计查询排查项、完成整改项等，分类分析。</w:t>
      </w:r>
    </w:p>
    <w:p>
      <w:pPr>
        <w:kinsoku/>
        <w:wordWrap/>
        <w:topLinePunct w:val="0"/>
        <w:autoSpaceDE/>
        <w:autoSpaceDN/>
        <w:bidi w:val="0"/>
        <w:spacing w:line="560" w:lineRule="exact"/>
        <w:ind w:firstLine="604"/>
        <w:rPr>
          <w:rFonts w:hint="eastAsia" w:ascii="方正仿宋_GBK" w:hAnsi="方正仿宋_GBK"/>
          <w:snapToGrid w:val="0"/>
        </w:rPr>
      </w:pPr>
      <w:r>
        <w:rPr>
          <w:rFonts w:hint="eastAsia" w:ascii="方正仿宋_GBK" w:hAnsi="方正仿宋_GBK"/>
          <w:snapToGrid w:val="0"/>
          <w:lang w:eastAsia="zh-CN"/>
        </w:rPr>
        <w:t>（</w:t>
      </w:r>
      <w:r>
        <w:rPr>
          <w:rFonts w:hint="eastAsia" w:ascii="方正仿宋_GBK" w:hAnsi="方正仿宋_GBK"/>
          <w:snapToGrid w:val="0"/>
          <w:lang w:val="en-US" w:eastAsia="zh-CN"/>
        </w:rPr>
        <w:t>7</w:t>
      </w:r>
      <w:r>
        <w:rPr>
          <w:rFonts w:hint="eastAsia" w:ascii="方正仿宋_GBK" w:hAnsi="方正仿宋_GBK"/>
          <w:snapToGrid w:val="0"/>
          <w:lang w:eastAsia="zh-CN"/>
        </w:rPr>
        <w:t>）</w:t>
      </w:r>
      <w:r>
        <w:rPr>
          <w:rFonts w:hint="eastAsia" w:ascii="方正仿宋_GBK" w:hAnsi="方正仿宋_GBK"/>
          <w:snapToGrid w:val="0"/>
        </w:rPr>
        <w:t>根据隐患分析统计，提出改进措施。</w:t>
      </w:r>
    </w:p>
    <w:p>
      <w:pPr>
        <w:kinsoku/>
        <w:wordWrap/>
        <w:topLinePunct w:val="0"/>
        <w:autoSpaceDE/>
        <w:autoSpaceDN/>
        <w:bidi w:val="0"/>
        <w:spacing w:line="560" w:lineRule="exact"/>
        <w:ind w:firstLine="604"/>
        <w:rPr>
          <w:rFonts w:hint="eastAsia" w:ascii="方正仿宋_GBK" w:hAnsi="方正仿宋_GBK"/>
          <w:snapToGrid w:val="0"/>
        </w:rPr>
      </w:pPr>
      <w:r>
        <w:rPr>
          <w:rFonts w:hint="eastAsia" w:ascii="方正仿宋_GBK" w:hAnsi="方正仿宋_GBK"/>
          <w:snapToGrid w:val="0"/>
          <w:lang w:val="en-US" w:eastAsia="zh-CN"/>
        </w:rPr>
        <w:t>2.</w:t>
      </w:r>
      <w:r>
        <w:rPr>
          <w:rFonts w:hint="eastAsia" w:ascii="方正仿宋_GBK" w:hAnsi="方正仿宋_GBK"/>
          <w:snapToGrid w:val="0"/>
        </w:rPr>
        <w:t>集团安全环保隐患整改</w:t>
      </w:r>
    </w:p>
    <w:p>
      <w:pPr>
        <w:kinsoku/>
        <w:wordWrap/>
        <w:topLinePunct w:val="0"/>
        <w:autoSpaceDE/>
        <w:autoSpaceDN/>
        <w:bidi w:val="0"/>
        <w:spacing w:line="560" w:lineRule="exact"/>
        <w:ind w:firstLine="604"/>
        <w:rPr>
          <w:rFonts w:hint="eastAsia" w:ascii="方正仿宋_GBK" w:hAnsi="方正仿宋_GBK"/>
          <w:snapToGrid w:val="0"/>
        </w:rPr>
      </w:pPr>
      <w:r>
        <w:rPr>
          <w:rFonts w:hint="eastAsia" w:ascii="方正仿宋_GBK" w:hAnsi="方正仿宋_GBK"/>
          <w:snapToGrid w:val="0"/>
          <w:lang w:eastAsia="zh-CN"/>
        </w:rPr>
        <w:t>（</w:t>
      </w:r>
      <w:r>
        <w:rPr>
          <w:rFonts w:hint="eastAsia" w:ascii="方正仿宋_GBK" w:hAnsi="方正仿宋_GBK"/>
          <w:snapToGrid w:val="0"/>
          <w:lang w:val="en-US" w:eastAsia="zh-CN"/>
        </w:rPr>
        <w:t>1</w:t>
      </w:r>
      <w:r>
        <w:rPr>
          <w:rFonts w:hint="eastAsia" w:ascii="方正仿宋_GBK" w:hAnsi="方正仿宋_GBK"/>
          <w:snapToGrid w:val="0"/>
          <w:lang w:eastAsia="zh-CN"/>
        </w:rPr>
        <w:t>）</w:t>
      </w:r>
      <w:r>
        <w:rPr>
          <w:rFonts w:hint="eastAsia" w:ascii="方正仿宋_GBK" w:hAnsi="方正仿宋_GBK"/>
          <w:snapToGrid w:val="0"/>
        </w:rPr>
        <w:t>集团下发隐患整改通知书；</w:t>
      </w:r>
    </w:p>
    <w:p>
      <w:pPr>
        <w:kinsoku/>
        <w:wordWrap/>
        <w:topLinePunct w:val="0"/>
        <w:autoSpaceDE/>
        <w:autoSpaceDN/>
        <w:bidi w:val="0"/>
        <w:spacing w:line="560" w:lineRule="exact"/>
        <w:ind w:firstLine="604"/>
        <w:rPr>
          <w:rFonts w:hint="eastAsia" w:ascii="方正仿宋_GBK" w:hAnsi="方正仿宋_GBK"/>
          <w:snapToGrid w:val="0"/>
        </w:rPr>
      </w:pPr>
      <w:r>
        <w:rPr>
          <w:rFonts w:hint="eastAsia" w:ascii="方正仿宋_GBK" w:hAnsi="方正仿宋_GBK"/>
          <w:snapToGrid w:val="0"/>
          <w:lang w:eastAsia="zh-CN"/>
        </w:rPr>
        <w:t>（</w:t>
      </w:r>
      <w:r>
        <w:rPr>
          <w:rFonts w:hint="eastAsia" w:ascii="方正仿宋_GBK" w:hAnsi="方正仿宋_GBK"/>
          <w:snapToGrid w:val="0"/>
          <w:lang w:val="en-US" w:eastAsia="zh-CN"/>
        </w:rPr>
        <w:t>2</w:t>
      </w:r>
      <w:r>
        <w:rPr>
          <w:rFonts w:hint="eastAsia" w:ascii="方正仿宋_GBK" w:hAnsi="方正仿宋_GBK"/>
          <w:snapToGrid w:val="0"/>
          <w:lang w:eastAsia="zh-CN"/>
        </w:rPr>
        <w:t>）</w:t>
      </w:r>
      <w:r>
        <w:rPr>
          <w:rFonts w:hint="eastAsia" w:ascii="方正仿宋_GBK" w:hAnsi="方正仿宋_GBK"/>
          <w:snapToGrid w:val="0"/>
        </w:rPr>
        <w:t>企业制定整改方案；</w:t>
      </w:r>
    </w:p>
    <w:p>
      <w:pPr>
        <w:kinsoku/>
        <w:wordWrap/>
        <w:topLinePunct w:val="0"/>
        <w:autoSpaceDE/>
        <w:autoSpaceDN/>
        <w:bidi w:val="0"/>
        <w:spacing w:line="560" w:lineRule="exact"/>
        <w:ind w:firstLine="604"/>
        <w:rPr>
          <w:rFonts w:hint="eastAsia" w:ascii="方正仿宋_GBK" w:hAnsi="方正仿宋_GBK"/>
          <w:snapToGrid w:val="0"/>
        </w:rPr>
      </w:pPr>
      <w:r>
        <w:rPr>
          <w:rFonts w:hint="eastAsia" w:ascii="方正仿宋_GBK" w:hAnsi="方正仿宋_GBK"/>
          <w:snapToGrid w:val="0"/>
          <w:lang w:eastAsia="zh-CN"/>
        </w:rPr>
        <w:t>（</w:t>
      </w:r>
      <w:r>
        <w:rPr>
          <w:rFonts w:hint="eastAsia" w:ascii="方正仿宋_GBK" w:hAnsi="方正仿宋_GBK"/>
          <w:snapToGrid w:val="0"/>
          <w:lang w:val="en-US" w:eastAsia="zh-CN"/>
        </w:rPr>
        <w:t>3</w:t>
      </w:r>
      <w:r>
        <w:rPr>
          <w:rFonts w:hint="eastAsia" w:ascii="方正仿宋_GBK" w:hAnsi="方正仿宋_GBK"/>
          <w:snapToGrid w:val="0"/>
          <w:lang w:eastAsia="zh-CN"/>
        </w:rPr>
        <w:t>）</w:t>
      </w:r>
      <w:r>
        <w:rPr>
          <w:rFonts w:hint="eastAsia" w:ascii="方正仿宋_GBK" w:hAnsi="方正仿宋_GBK"/>
          <w:snapToGrid w:val="0"/>
        </w:rPr>
        <w:t>企业上报整改、验收情况。</w:t>
      </w:r>
    </w:p>
    <w:p>
      <w:pPr>
        <w:kinsoku/>
        <w:wordWrap/>
        <w:topLinePunct w:val="0"/>
        <w:autoSpaceDE/>
        <w:autoSpaceDN/>
        <w:bidi w:val="0"/>
        <w:spacing w:line="560" w:lineRule="exact"/>
        <w:ind w:firstLine="604"/>
        <w:rPr>
          <w:rFonts w:hint="eastAsia" w:ascii="方正仿宋_GBK" w:hAnsi="方正仿宋_GBK"/>
          <w:snapToGrid w:val="0"/>
        </w:rPr>
      </w:pPr>
      <w:r>
        <w:rPr>
          <w:rFonts w:hint="eastAsia" w:ascii="方正仿宋_GBK" w:hAnsi="方正仿宋_GBK"/>
          <w:snapToGrid w:val="0"/>
          <w:lang w:val="en-US" w:eastAsia="zh-CN"/>
        </w:rPr>
        <w:t>3.</w:t>
      </w:r>
      <w:r>
        <w:rPr>
          <w:rFonts w:hint="eastAsia" w:ascii="方正仿宋_GBK" w:hAnsi="方正仿宋_GBK"/>
          <w:snapToGrid w:val="0"/>
        </w:rPr>
        <w:t>大排查大整治、专项整治管理</w:t>
      </w:r>
    </w:p>
    <w:p>
      <w:pPr>
        <w:kinsoku/>
        <w:wordWrap/>
        <w:topLinePunct w:val="0"/>
        <w:autoSpaceDE/>
        <w:autoSpaceDN/>
        <w:bidi w:val="0"/>
        <w:spacing w:line="560" w:lineRule="exact"/>
        <w:ind w:firstLine="604"/>
        <w:rPr>
          <w:rFonts w:hint="eastAsia" w:ascii="方正仿宋_GBK" w:hAnsi="方正仿宋_GBK"/>
          <w:snapToGrid w:val="0"/>
        </w:rPr>
      </w:pPr>
      <w:r>
        <w:rPr>
          <w:rFonts w:hint="eastAsia" w:ascii="方正仿宋_GBK" w:hAnsi="方正仿宋_GBK"/>
          <w:snapToGrid w:val="0"/>
          <w:lang w:eastAsia="zh-CN"/>
        </w:rPr>
        <w:t>（</w:t>
      </w:r>
      <w:r>
        <w:rPr>
          <w:rFonts w:hint="eastAsia" w:ascii="方正仿宋_GBK" w:hAnsi="方正仿宋_GBK"/>
          <w:snapToGrid w:val="0"/>
          <w:lang w:val="en-US" w:eastAsia="zh-CN"/>
        </w:rPr>
        <w:t>1</w:t>
      </w:r>
      <w:r>
        <w:rPr>
          <w:rFonts w:hint="eastAsia" w:ascii="方正仿宋_GBK" w:hAnsi="方正仿宋_GBK"/>
          <w:snapToGrid w:val="0"/>
          <w:lang w:eastAsia="zh-CN"/>
        </w:rPr>
        <w:t>）</w:t>
      </w:r>
      <w:r>
        <w:rPr>
          <w:rFonts w:hint="eastAsia" w:ascii="方正仿宋_GBK" w:hAnsi="方正仿宋_GBK"/>
          <w:snapToGrid w:val="0"/>
        </w:rPr>
        <w:t>布置大排查大整治、专项整治任务；</w:t>
      </w:r>
    </w:p>
    <w:p>
      <w:pPr>
        <w:kinsoku/>
        <w:wordWrap/>
        <w:topLinePunct w:val="0"/>
        <w:autoSpaceDE/>
        <w:autoSpaceDN/>
        <w:bidi w:val="0"/>
        <w:spacing w:line="560" w:lineRule="exact"/>
        <w:ind w:firstLine="604"/>
        <w:rPr>
          <w:rFonts w:hint="eastAsia" w:ascii="方正仿宋_GBK" w:hAnsi="方正仿宋_GBK"/>
          <w:snapToGrid w:val="0"/>
        </w:rPr>
      </w:pPr>
      <w:r>
        <w:rPr>
          <w:rFonts w:hint="eastAsia" w:ascii="方正仿宋_GBK" w:hAnsi="方正仿宋_GBK"/>
          <w:snapToGrid w:val="0"/>
          <w:lang w:eastAsia="zh-CN"/>
        </w:rPr>
        <w:t>（</w:t>
      </w:r>
      <w:r>
        <w:rPr>
          <w:rFonts w:hint="eastAsia" w:ascii="方正仿宋_GBK" w:hAnsi="方正仿宋_GBK"/>
          <w:snapToGrid w:val="0"/>
          <w:lang w:val="en-US" w:eastAsia="zh-CN"/>
        </w:rPr>
        <w:t>2</w:t>
      </w:r>
      <w:r>
        <w:rPr>
          <w:rFonts w:hint="eastAsia" w:ascii="方正仿宋_GBK" w:hAnsi="方正仿宋_GBK"/>
          <w:snapToGrid w:val="0"/>
          <w:lang w:eastAsia="zh-CN"/>
        </w:rPr>
        <w:t>）</w:t>
      </w:r>
      <w:r>
        <w:rPr>
          <w:rFonts w:hint="eastAsia" w:ascii="方正仿宋_GBK" w:hAnsi="方正仿宋_GBK"/>
          <w:snapToGrid w:val="0"/>
        </w:rPr>
        <w:t>将排查隐患上传到系统，建立整改责任台账，并经审批后传达到各整改责任人；</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lang w:eastAsia="zh-CN"/>
        </w:rPr>
        <w:t>（</w:t>
      </w:r>
      <w:r>
        <w:rPr>
          <w:rFonts w:hint="eastAsia" w:ascii="方正仿宋_GBK" w:hAnsi="方正仿宋_GBK"/>
          <w:snapToGrid w:val="0"/>
          <w:lang w:val="en-US" w:eastAsia="zh-CN"/>
        </w:rPr>
        <w:t>3</w:t>
      </w:r>
      <w:r>
        <w:rPr>
          <w:rFonts w:hint="eastAsia" w:ascii="方正仿宋_GBK" w:hAnsi="方正仿宋_GBK"/>
          <w:snapToGrid w:val="0"/>
          <w:lang w:eastAsia="zh-CN"/>
        </w:rPr>
        <w:t>）</w:t>
      </w:r>
      <w:r>
        <w:rPr>
          <w:rFonts w:hint="eastAsia" w:ascii="方正仿宋_GBK" w:hAnsi="方正仿宋_GBK"/>
          <w:snapToGrid w:val="0"/>
        </w:rPr>
        <w:t>各整改责任人将整改、验收情况上传到系统，形成闭环。</w:t>
      </w:r>
    </w:p>
    <w:p>
      <w:pPr>
        <w:pStyle w:val="8"/>
        <w:kinsoku/>
        <w:wordWrap/>
        <w:topLinePunct w:val="0"/>
        <w:autoSpaceDE/>
        <w:autoSpaceDN/>
        <w:bidi w:val="0"/>
        <w:spacing w:before="198" w:after="198" w:line="560" w:lineRule="exact"/>
        <w:rPr>
          <w:rFonts w:hint="eastAsia"/>
        </w:rPr>
      </w:pPr>
      <w:r>
        <w:rPr>
          <w:rFonts w:hint="eastAsia"/>
        </w:rPr>
        <w:t>安全“两单两卡”管理</w:t>
      </w:r>
    </w:p>
    <w:p>
      <w:pPr>
        <w:pStyle w:val="2"/>
        <w:kinsoku/>
        <w:wordWrap/>
        <w:topLinePunct w:val="0"/>
        <w:autoSpaceDE/>
        <w:autoSpaceDN/>
        <w:bidi w:val="0"/>
        <w:spacing w:line="560" w:lineRule="exact"/>
        <w:rPr>
          <w:rFonts w:hint="eastAsia"/>
        </w:rPr>
      </w:pPr>
      <w:r>
        <w:rPr>
          <w:rFonts w:hint="eastAsia"/>
        </w:rPr>
        <w:t>一线岗位从业人员“两单两卡”：岗位风险清单、岗位职责清单、岗位操作卡、岗位应急处置卡，录入系统，并传到各岗位从业人员学习、考试。</w:t>
      </w:r>
    </w:p>
    <w:p>
      <w:pPr>
        <w:pStyle w:val="8"/>
        <w:kinsoku/>
        <w:wordWrap/>
        <w:topLinePunct w:val="0"/>
        <w:autoSpaceDE/>
        <w:autoSpaceDN/>
        <w:bidi w:val="0"/>
        <w:spacing w:line="560" w:lineRule="exact"/>
        <w:rPr>
          <w:rFonts w:hint="eastAsia"/>
        </w:rPr>
      </w:pPr>
      <w:r>
        <w:rPr>
          <w:rFonts w:hint="eastAsia"/>
        </w:rPr>
        <w:t>安全、环保资金统计</w:t>
      </w:r>
    </w:p>
    <w:p>
      <w:pPr>
        <w:kinsoku/>
        <w:wordWrap/>
        <w:topLinePunct w:val="0"/>
        <w:autoSpaceDE/>
        <w:autoSpaceDN/>
        <w:bidi w:val="0"/>
        <w:spacing w:line="560" w:lineRule="exact"/>
      </w:pPr>
      <w:r>
        <w:rPr>
          <w:rFonts w:hint="eastAsia"/>
        </w:rPr>
        <w:t>集团及企业定期将安全、环保资金录入系统，统计汇总。</w:t>
      </w:r>
    </w:p>
    <w:p>
      <w:pPr>
        <w:pStyle w:val="8"/>
        <w:kinsoku/>
        <w:wordWrap/>
        <w:topLinePunct w:val="0"/>
        <w:autoSpaceDE/>
        <w:autoSpaceDN/>
        <w:bidi w:val="0"/>
        <w:spacing w:before="198" w:after="198" w:line="560" w:lineRule="exact"/>
        <w:rPr>
          <w:rFonts w:hint="eastAsia"/>
        </w:rPr>
      </w:pPr>
      <w:r>
        <w:rPr>
          <w:rFonts w:hint="eastAsia"/>
        </w:rPr>
        <w:t>安全环保应急管理</w:t>
      </w:r>
    </w:p>
    <w:p>
      <w:pPr>
        <w:pStyle w:val="2"/>
        <w:kinsoku/>
        <w:wordWrap/>
        <w:topLinePunct w:val="0"/>
        <w:autoSpaceDE/>
        <w:autoSpaceDN/>
        <w:bidi w:val="0"/>
        <w:spacing w:line="560" w:lineRule="exact"/>
        <w:rPr>
          <w:rFonts w:hint="eastAsia"/>
        </w:rPr>
      </w:pPr>
      <w:r>
        <w:rPr>
          <w:rFonts w:hint="eastAsia"/>
        </w:rPr>
        <w:t>1</w:t>
      </w:r>
      <w:r>
        <w:rPr>
          <w:rFonts w:hint="eastAsia"/>
          <w:lang w:eastAsia="zh-CN"/>
        </w:rPr>
        <w:t>.</w:t>
      </w:r>
      <w:r>
        <w:rPr>
          <w:rFonts w:hint="eastAsia"/>
        </w:rPr>
        <w:t>安全环保应急组织机构，体系录入系统并传达到各人员；</w:t>
      </w:r>
    </w:p>
    <w:p>
      <w:pPr>
        <w:pStyle w:val="2"/>
        <w:kinsoku/>
        <w:wordWrap/>
        <w:topLinePunct w:val="0"/>
        <w:autoSpaceDE/>
        <w:autoSpaceDN/>
        <w:bidi w:val="0"/>
        <w:spacing w:line="560" w:lineRule="exact"/>
        <w:rPr>
          <w:rFonts w:hint="eastAsia"/>
        </w:rPr>
      </w:pPr>
      <w:r>
        <w:rPr>
          <w:rFonts w:hint="eastAsia"/>
        </w:rPr>
        <w:t>2</w:t>
      </w:r>
      <w:r>
        <w:rPr>
          <w:rFonts w:hint="eastAsia"/>
          <w:lang w:eastAsia="zh-CN"/>
        </w:rPr>
        <w:t>.</w:t>
      </w:r>
      <w:r>
        <w:rPr>
          <w:rFonts w:hint="eastAsia"/>
        </w:rPr>
        <w:t>应急预案录入系统；</w:t>
      </w:r>
    </w:p>
    <w:p>
      <w:pPr>
        <w:pStyle w:val="2"/>
        <w:kinsoku/>
        <w:wordWrap/>
        <w:topLinePunct w:val="0"/>
        <w:autoSpaceDE/>
        <w:autoSpaceDN/>
        <w:bidi w:val="0"/>
        <w:spacing w:line="560" w:lineRule="exact"/>
      </w:pPr>
      <w:r>
        <w:rPr>
          <w:rFonts w:hint="eastAsia"/>
        </w:rPr>
        <w:t>3</w:t>
      </w:r>
      <w:r>
        <w:rPr>
          <w:rFonts w:hint="eastAsia"/>
          <w:lang w:eastAsia="zh-CN"/>
        </w:rPr>
        <w:t>.</w:t>
      </w:r>
      <w:r>
        <w:rPr>
          <w:rFonts w:hint="eastAsia"/>
        </w:rPr>
        <w:t>应急演练计划及演练情况录入系统。</w:t>
      </w:r>
    </w:p>
    <w:p>
      <w:pPr>
        <w:pStyle w:val="8"/>
        <w:kinsoku/>
        <w:wordWrap/>
        <w:topLinePunct w:val="0"/>
        <w:autoSpaceDE/>
        <w:autoSpaceDN/>
        <w:bidi w:val="0"/>
        <w:spacing w:before="198" w:after="198" w:line="560" w:lineRule="exact"/>
      </w:pPr>
      <w:r>
        <w:rPr>
          <w:rFonts w:hint="eastAsia"/>
        </w:rPr>
        <w:t>安全</w:t>
      </w:r>
      <w:r>
        <w:rPr>
          <w:rFonts w:hint="eastAsia"/>
          <w:lang w:val="en-US" w:eastAsia="zh-CN"/>
        </w:rPr>
        <w:t>环保</w:t>
      </w:r>
      <w:r>
        <w:rPr>
          <w:rFonts w:hint="eastAsia"/>
        </w:rPr>
        <w:t>统计报表</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安全环保报表功能包括安全生产报表设计、编制要求说明、安全环保填报、平衡关系检查、上报与催报、附件填报</w:t>
      </w:r>
      <w:r>
        <w:rPr>
          <w:rFonts w:hint="eastAsia" w:ascii="方正仿宋_GBK" w:hAnsi="方正仿宋_GBK"/>
          <w:snapToGrid w:val="0"/>
          <w:lang w:eastAsia="zh-CN"/>
        </w:rPr>
        <w:t>，</w:t>
      </w:r>
      <w:r>
        <w:rPr>
          <w:rFonts w:hint="eastAsia" w:ascii="方正仿宋_GBK" w:hAnsi="方正仿宋_GBK"/>
          <w:snapToGrid w:val="0"/>
          <w:lang w:val="en-US" w:eastAsia="zh-CN"/>
        </w:rPr>
        <w:t>支持</w:t>
      </w:r>
      <w:r>
        <w:rPr>
          <w:rFonts w:hint="eastAsia" w:ascii="方正仿宋_GBK" w:hAnsi="方正仿宋_GBK"/>
          <w:snapToGrid w:val="0"/>
        </w:rPr>
        <w:t>安全、环保报表设计、填报、审批、汇总、统计、</w:t>
      </w:r>
      <w:r>
        <w:rPr>
          <w:rFonts w:hint="eastAsia" w:ascii="方正仿宋_GBK" w:hAnsi="方正仿宋_GBK"/>
          <w:snapToGrid w:val="0"/>
          <w:lang w:eastAsia="zh-CN"/>
        </w:rPr>
        <w:t>校验</w:t>
      </w:r>
      <w:r>
        <w:rPr>
          <w:rFonts w:hint="eastAsia" w:ascii="方正仿宋_GBK" w:hAnsi="方正仿宋_GBK"/>
          <w:snapToGrid w:val="0"/>
        </w:rPr>
        <w:t>、查询、导出等。帮助集团</w:t>
      </w:r>
      <w:r>
        <w:rPr>
          <w:rFonts w:hint="eastAsia" w:ascii="方正仿宋_GBK" w:hAnsi="方正仿宋_GBK"/>
          <w:snapToGrid w:val="0"/>
          <w:lang w:eastAsia="zh-CN"/>
        </w:rPr>
        <w:t>更好地进行</w:t>
      </w:r>
      <w:r>
        <w:rPr>
          <w:rFonts w:hint="eastAsia" w:ascii="方正仿宋_GBK" w:hAnsi="方正仿宋_GBK"/>
          <w:snapToGrid w:val="0"/>
        </w:rPr>
        <w:t>安全环保管理。</w:t>
      </w:r>
    </w:p>
    <w:p>
      <w:pPr>
        <w:kinsoku/>
        <w:wordWrap/>
        <w:topLinePunct w:val="0"/>
        <w:autoSpaceDE/>
        <w:autoSpaceDN/>
        <w:bidi w:val="0"/>
        <w:spacing w:line="560" w:lineRule="exact"/>
        <w:ind w:left="604" w:leftChars="200" w:firstLine="0" w:firstLineChars="0"/>
        <w:rPr>
          <w:rFonts w:ascii="方正仿宋_GBK" w:hAnsi="方正仿宋_GBK"/>
          <w:snapToGrid w:val="0"/>
        </w:rPr>
      </w:pPr>
      <w:r>
        <w:rPr>
          <w:rFonts w:hint="eastAsia" w:ascii="方正仿宋_GBK" w:hAnsi="方正仿宋_GBK"/>
          <w:snapToGrid w:val="0"/>
          <w:lang w:val="en-US" w:eastAsia="zh-CN"/>
        </w:rPr>
        <w:t>1</w:t>
      </w:r>
      <w:r>
        <w:rPr>
          <w:rFonts w:hint="eastAsia" w:ascii="方正仿宋_GBK" w:hAnsi="方正仿宋_GBK"/>
          <w:snapToGrid w:val="0"/>
        </w:rPr>
        <w:t>.企业填报</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下属企业可以通过手工录入、excel文件导入的形式填报数据，可查询已录入的数据，并能对该数据进行修改、删除等操作。</w:t>
      </w:r>
    </w:p>
    <w:p>
      <w:pPr>
        <w:kinsoku/>
        <w:wordWrap/>
        <w:topLinePunct w:val="0"/>
        <w:autoSpaceDE/>
        <w:autoSpaceDN/>
        <w:bidi w:val="0"/>
        <w:spacing w:line="560" w:lineRule="exact"/>
        <w:ind w:left="604" w:leftChars="200" w:firstLine="0" w:firstLineChars="0"/>
        <w:rPr>
          <w:rFonts w:ascii="方正仿宋_GBK" w:hAnsi="方正仿宋_GBK"/>
          <w:snapToGrid w:val="0"/>
        </w:rPr>
      </w:pPr>
      <w:r>
        <w:rPr>
          <w:rFonts w:hint="eastAsia" w:ascii="方正仿宋_GBK" w:hAnsi="方正仿宋_GBK"/>
          <w:snapToGrid w:val="0"/>
          <w:lang w:val="en-US" w:eastAsia="zh-CN"/>
        </w:rPr>
        <w:t>2</w:t>
      </w:r>
      <w:r>
        <w:rPr>
          <w:rFonts w:hint="eastAsia" w:ascii="方正仿宋_GBK" w:hAnsi="方正仿宋_GBK"/>
          <w:snapToGrid w:val="0"/>
        </w:rPr>
        <w:t>.安全环保报表汇总</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集团可以自行设定汇总规则，按级次汇总数据，可追溯查询汇总数据的来源。汇总处理方式包括完全汇总、合并汇总、非合并汇总、自定义汇总四种方式，支持分类查询，查询结果可导出和打印。</w:t>
      </w:r>
    </w:p>
    <w:p>
      <w:pPr>
        <w:kinsoku/>
        <w:wordWrap/>
        <w:topLinePunct w:val="0"/>
        <w:autoSpaceDE/>
        <w:autoSpaceDN/>
        <w:bidi w:val="0"/>
        <w:spacing w:line="560" w:lineRule="exact"/>
        <w:ind w:left="604" w:leftChars="200" w:firstLine="0" w:firstLineChars="0"/>
        <w:rPr>
          <w:rFonts w:ascii="方正仿宋_GBK" w:hAnsi="方正仿宋_GBK"/>
          <w:snapToGrid w:val="0"/>
        </w:rPr>
      </w:pPr>
      <w:r>
        <w:rPr>
          <w:rFonts w:hint="eastAsia" w:ascii="方正仿宋_GBK" w:hAnsi="方正仿宋_GBK"/>
          <w:snapToGrid w:val="0"/>
          <w:lang w:val="en-US" w:eastAsia="zh-CN"/>
        </w:rPr>
        <w:t>3</w:t>
      </w:r>
      <w:r>
        <w:rPr>
          <w:rFonts w:hint="eastAsia" w:ascii="方正仿宋_GBK" w:hAnsi="方正仿宋_GBK"/>
          <w:snapToGrid w:val="0"/>
        </w:rPr>
        <w:t>.安全环保报表查询</w:t>
      </w:r>
    </w:p>
    <w:p>
      <w:pPr>
        <w:kinsoku/>
        <w:wordWrap/>
        <w:topLinePunct w:val="0"/>
        <w:autoSpaceDE/>
        <w:autoSpaceDN/>
        <w:bidi w:val="0"/>
        <w:spacing w:line="560" w:lineRule="exact"/>
        <w:ind w:firstLine="604"/>
        <w:rPr>
          <w:snapToGrid w:val="0"/>
        </w:rPr>
      </w:pPr>
      <w:r>
        <w:rPr>
          <w:rFonts w:hint="eastAsia" w:ascii="方正仿宋_GBK" w:hAnsi="方正仿宋_GBK"/>
          <w:snapToGrid w:val="0"/>
        </w:rPr>
        <w:t>按报表分类、单位、年度、月份快速检索报表信息。</w:t>
      </w:r>
    </w:p>
    <w:p>
      <w:pPr>
        <w:pStyle w:val="6"/>
        <w:kinsoku/>
        <w:wordWrap/>
        <w:topLinePunct w:val="0"/>
        <w:autoSpaceDE/>
        <w:autoSpaceDN/>
        <w:bidi w:val="0"/>
        <w:spacing w:before="198" w:after="198" w:line="560" w:lineRule="exact"/>
      </w:pPr>
      <w:bookmarkStart w:id="181" w:name="_Toc2363"/>
      <w:bookmarkStart w:id="182" w:name="_Toc1628"/>
      <w:bookmarkStart w:id="183" w:name="_Toc13301"/>
      <w:r>
        <w:rPr>
          <w:rFonts w:hint="eastAsia"/>
        </w:rPr>
        <w:t>数智化创新管理</w:t>
      </w:r>
      <w:bookmarkEnd w:id="181"/>
      <w:bookmarkEnd w:id="182"/>
      <w:bookmarkEnd w:id="183"/>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企业知识产权是市场竞争的一部分，管理者要真正利用好知识产权作为竞争手段，包括显性的专利、商标、版权，隐性的商业秘密，以及对外合同中的知识产权约定，才能实现其商业价值的最大化。保护好知识产权，能够为企业带来巨大的经济效益，增强经济实力；保护好知识产权，有利于引进多方投资，促进国内外贸易；保护好知识产权，有利于调动企业高科技人才从事科研和文艺创作的积极性。</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数智化创新管理用于推进集团及下属企业技术进步与科技创新工作，促进和完善组织体系建设，推进和实施集团科技创新的规章措施，采集科技类信息、知识产权类信息等。</w:t>
      </w:r>
    </w:p>
    <w:p>
      <w:pPr>
        <w:pStyle w:val="7"/>
        <w:kinsoku/>
        <w:wordWrap/>
        <w:topLinePunct w:val="0"/>
        <w:autoSpaceDE/>
        <w:autoSpaceDN/>
        <w:bidi w:val="0"/>
        <w:spacing w:before="198" w:after="198" w:line="560" w:lineRule="exact"/>
        <w:rPr>
          <w:rFonts w:hint="default"/>
        </w:rPr>
      </w:pPr>
      <w:r>
        <w:t>创新组织体系管理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下属企业按照要求制订并上报本企业技术进步与科技创新的组织体系规划，由集团相关部门对下属企业规划进行审核并反馈审核意见，经企业完善后备案并监督执行。上报文本支持企业电子印章并实现对自主创新组织体系规划的查询，分析。</w:t>
      </w:r>
      <w:r>
        <w:rPr>
          <w:rFonts w:hint="eastAsia" w:ascii="方正仿宋_GBK" w:hAnsi="方正仿宋_GBK"/>
          <w:snapToGrid w:val="0"/>
          <w:highlight w:val="none"/>
          <w:lang w:val="en-US" w:eastAsia="zh-CN"/>
        </w:rPr>
        <w:t>系统支持</w:t>
      </w:r>
      <w:r>
        <w:rPr>
          <w:rFonts w:hint="eastAsia" w:ascii="方正仿宋_GBK" w:hAnsi="方正仿宋_GBK"/>
          <w:snapToGrid w:val="0"/>
          <w:highlight w:val="none"/>
        </w:rPr>
        <w:t>随时查看和修改</w:t>
      </w:r>
      <w:r>
        <w:rPr>
          <w:rFonts w:hint="eastAsia" w:ascii="方正仿宋_GBK" w:hAnsi="方正仿宋_GBK"/>
          <w:snapToGrid w:val="0"/>
          <w:highlight w:val="none"/>
          <w:lang w:val="en-US" w:eastAsia="zh-CN"/>
        </w:rPr>
        <w:t>创新</w:t>
      </w:r>
      <w:r>
        <w:rPr>
          <w:rFonts w:hint="eastAsia" w:ascii="方正仿宋_GBK" w:hAnsi="方正仿宋_GBK"/>
          <w:snapToGrid w:val="0"/>
          <w:highlight w:val="none"/>
        </w:rPr>
        <w:t>组织体系图，包括负责人员、分管领导，联系电话等信息。</w:t>
      </w:r>
    </w:p>
    <w:p>
      <w:pPr>
        <w:pStyle w:val="7"/>
        <w:kinsoku/>
        <w:wordWrap/>
        <w:topLinePunct w:val="0"/>
        <w:autoSpaceDE/>
        <w:autoSpaceDN/>
        <w:bidi w:val="0"/>
        <w:spacing w:before="198" w:after="198" w:line="560" w:lineRule="exact"/>
        <w:rPr>
          <w:rFonts w:hint="default"/>
        </w:rPr>
      </w:pPr>
      <w:r>
        <w:t>创新项目管理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集团对创新项目进行全流程管理，包括项目库、创新项目的立项管理、过程管理、验收管理、资金拨付等。</w:t>
      </w:r>
    </w:p>
    <w:p>
      <w:pPr>
        <w:pStyle w:val="8"/>
        <w:kinsoku/>
        <w:wordWrap/>
        <w:topLinePunct w:val="0"/>
        <w:autoSpaceDE/>
        <w:autoSpaceDN/>
        <w:bidi w:val="0"/>
        <w:spacing w:before="198" w:after="198" w:line="560" w:lineRule="exact"/>
      </w:pPr>
      <w:r>
        <w:rPr>
          <w:rFonts w:hint="eastAsia"/>
        </w:rPr>
        <w:t>项目库</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对审核中、已归档的创新项目库以台账列表及项目文档库的形式进行展示保存，点击单条项目能够查询到该项创新项目的详细信息以及所有上传保存的文档资料。项目库支持期限提醒、编辑、删除、导入导出、查询统计等功能。</w:t>
      </w:r>
    </w:p>
    <w:p>
      <w:pPr>
        <w:pStyle w:val="8"/>
        <w:kinsoku/>
        <w:wordWrap/>
        <w:topLinePunct w:val="0"/>
        <w:autoSpaceDE/>
        <w:autoSpaceDN/>
        <w:bidi w:val="0"/>
        <w:spacing w:before="198" w:after="198" w:line="560" w:lineRule="exact"/>
      </w:pPr>
      <w:r>
        <w:rPr>
          <w:rFonts w:hint="eastAsia"/>
        </w:rPr>
        <w:t>创新项目立项管理</w:t>
      </w:r>
    </w:p>
    <w:p>
      <w:pPr>
        <w:numPr>
          <w:ilvl w:val="0"/>
          <w:numId w:val="42"/>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项目上报</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系统支持对创新项目的立项信息进行填报，包括项目编号、项目名称、项目类型、项目概述、创新分析、资金估算、所属公司、联系人、联系电话等，支持对申报信息进行新增、修改、删除、查询、导出下载、打印等功能，申报信息提交后进入到审核流程。</w:t>
      </w:r>
    </w:p>
    <w:p>
      <w:pPr>
        <w:numPr>
          <w:ilvl w:val="0"/>
          <w:numId w:val="42"/>
        </w:num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附件</w:t>
      </w:r>
      <w:r>
        <w:rPr>
          <w:rFonts w:hint="eastAsia" w:ascii="方正仿宋_GBK" w:hAnsi="方正仿宋_GBK"/>
          <w:snapToGrid w:val="0"/>
        </w:rPr>
        <w:t>填报</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系统支持上传相关附件文档说明，包括word、excel、ppt、pdf、图片等格式。</w:t>
      </w:r>
    </w:p>
    <w:p>
      <w:pPr>
        <w:pStyle w:val="8"/>
        <w:kinsoku/>
        <w:wordWrap/>
        <w:topLinePunct w:val="0"/>
        <w:autoSpaceDE/>
        <w:autoSpaceDN/>
        <w:bidi w:val="0"/>
        <w:spacing w:before="198" w:after="198" w:line="560" w:lineRule="exact"/>
      </w:pPr>
      <w:r>
        <w:rPr>
          <w:rFonts w:hint="eastAsia"/>
        </w:rPr>
        <w:t>过程管理</w:t>
      </w:r>
    </w:p>
    <w:p>
      <w:pPr>
        <w:numPr>
          <w:ilvl w:val="0"/>
          <w:numId w:val="43"/>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申报审核</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企业填报数据之后，系统应支持经过审核后上报集团存档，对不符合申报要求或者填写不规范的项目，支持回退到相关企业要求重新修改后提交审核。</w:t>
      </w:r>
    </w:p>
    <w:p>
      <w:pPr>
        <w:numPr>
          <w:ilvl w:val="0"/>
          <w:numId w:val="43"/>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项目催报</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系统应提供催报功能，能够列示已报单位和未报单位，对未报企业，系统自动根据时间设置向企业发出催报信息。</w:t>
      </w:r>
    </w:p>
    <w:p>
      <w:pPr>
        <w:numPr>
          <w:ilvl w:val="0"/>
          <w:numId w:val="43"/>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通知与提醒</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企业的数据上报之后，集团接收用户可以收到提醒消息，通知其某企业数据已上报；集团也可以向指定企业发送通知。</w:t>
      </w:r>
    </w:p>
    <w:p>
      <w:pPr>
        <w:pStyle w:val="8"/>
        <w:kinsoku/>
        <w:wordWrap/>
        <w:topLinePunct w:val="0"/>
        <w:autoSpaceDE/>
        <w:autoSpaceDN/>
        <w:bidi w:val="0"/>
        <w:spacing w:before="198" w:after="198" w:line="560" w:lineRule="exact"/>
      </w:pPr>
      <w:r>
        <w:rPr>
          <w:rFonts w:hint="eastAsia"/>
        </w:rPr>
        <w:t>验收管理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创新项目进入到结题验收阶段，在线下进行验收会议的召开后，在线上系统支持验收流程的审批，并且对相关结题验收材料进行上传归档，满足集团后期对项目的审计管理。</w:t>
      </w:r>
    </w:p>
    <w:p>
      <w:pPr>
        <w:pStyle w:val="8"/>
        <w:kinsoku/>
        <w:wordWrap/>
        <w:topLinePunct w:val="0"/>
        <w:autoSpaceDE/>
        <w:autoSpaceDN/>
        <w:bidi w:val="0"/>
        <w:spacing w:before="198" w:after="198" w:line="560" w:lineRule="exact"/>
      </w:pPr>
      <w:r>
        <w:rPr>
          <w:rFonts w:hint="eastAsia"/>
        </w:rPr>
        <w:t>资金拨付</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对于项目立项申请审批通过且根据集团相关管理办法有资金支持的，系统支持将该项目立项审批流程同步到财务资金部，生成财务凭证，由财务资金部安排项目支持资金的拨付。</w:t>
      </w:r>
    </w:p>
    <w:p>
      <w:pPr>
        <w:pStyle w:val="7"/>
        <w:kinsoku/>
        <w:wordWrap/>
        <w:topLinePunct w:val="0"/>
        <w:autoSpaceDE/>
        <w:autoSpaceDN/>
        <w:bidi w:val="0"/>
        <w:spacing w:before="198" w:after="198" w:line="560" w:lineRule="exact"/>
        <w:rPr>
          <w:rFonts w:hint="default"/>
        </w:rPr>
      </w:pPr>
      <w:r>
        <w:t>创新统计管理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提供所有企业商标、专利、版权等知识产权，研发投入及占比，新产品收入及产比，创新平台，科技研发人员及占比，科技研发人员收入及占比，资质奖励等月度、季度完成情况分析查询、汇总数据查询和多维度（年度、多年度期间）的统计分析。统计数据与重庆国资大数据监管平台科技创新统计保持一致，并提供明细查询、汇总计算、同比、环比比较等分析功能。</w:t>
      </w:r>
    </w:p>
    <w:p>
      <w:pPr>
        <w:pStyle w:val="7"/>
        <w:kinsoku/>
        <w:wordWrap/>
        <w:topLinePunct w:val="0"/>
        <w:autoSpaceDE/>
        <w:autoSpaceDN/>
        <w:bidi w:val="0"/>
        <w:spacing w:before="198" w:after="198" w:line="560" w:lineRule="exact"/>
        <w:rPr>
          <w:rFonts w:hint="default"/>
        </w:rPr>
      </w:pPr>
      <w:r>
        <w:t>创新</w:t>
      </w:r>
      <w:r>
        <w:rPr>
          <w:rFonts w:hint="eastAsia"/>
          <w:lang w:val="en-US" w:eastAsia="zh-CN"/>
        </w:rPr>
        <w:t>任务</w:t>
      </w:r>
      <w:r>
        <w:t>考核</w:t>
      </w:r>
    </w:p>
    <w:p>
      <w:pPr>
        <w:pStyle w:val="8"/>
        <w:kinsoku/>
        <w:wordWrap/>
        <w:topLinePunct w:val="0"/>
        <w:autoSpaceDE/>
        <w:autoSpaceDN/>
        <w:bidi w:val="0"/>
        <w:spacing w:before="198" w:after="198" w:line="560" w:lineRule="exact"/>
        <w:rPr>
          <w:highlight w:val="none"/>
        </w:rPr>
      </w:pPr>
      <w:r>
        <w:rPr>
          <w:rFonts w:hint="eastAsia"/>
          <w:highlight w:val="none"/>
          <w:lang w:val="en-US" w:eastAsia="zh-CN"/>
        </w:rPr>
        <w:t>创新任务下达</w:t>
      </w:r>
    </w:p>
    <w:p>
      <w:pPr>
        <w:pStyle w:val="2"/>
        <w:kinsoku/>
        <w:wordWrap/>
        <w:topLinePunct w:val="0"/>
        <w:autoSpaceDE/>
        <w:autoSpaceDN/>
        <w:bidi w:val="0"/>
        <w:spacing w:line="560" w:lineRule="exact"/>
        <w:rPr>
          <w:highlight w:val="none"/>
        </w:rPr>
      </w:pPr>
      <w:r>
        <w:rPr>
          <w:rFonts w:hint="eastAsia"/>
          <w:highlight w:val="none"/>
        </w:rPr>
        <w:t>系统可根据集团创新任务指标，并制定创新任务计划。支持创新任务集团下发企业、企业下发部门或个人的多重下发方式，确保创新任务工作的</w:t>
      </w:r>
      <w:r>
        <w:rPr>
          <w:rFonts w:hint="eastAsia"/>
          <w:highlight w:val="none"/>
          <w:lang w:eastAsia="zh-CN"/>
        </w:rPr>
        <w:t>有力</w:t>
      </w:r>
      <w:r>
        <w:rPr>
          <w:rFonts w:hint="eastAsia"/>
          <w:highlight w:val="none"/>
        </w:rPr>
        <w:t>执行。</w:t>
      </w:r>
    </w:p>
    <w:p>
      <w:pPr>
        <w:pStyle w:val="8"/>
        <w:kinsoku/>
        <w:wordWrap/>
        <w:topLinePunct w:val="0"/>
        <w:autoSpaceDE/>
        <w:autoSpaceDN/>
        <w:bidi w:val="0"/>
        <w:spacing w:before="198" w:after="198" w:line="560" w:lineRule="exact"/>
        <w:rPr>
          <w:highlight w:val="none"/>
        </w:rPr>
      </w:pPr>
      <w:r>
        <w:rPr>
          <w:rFonts w:hint="eastAsia"/>
          <w:highlight w:val="none"/>
          <w:lang w:val="en-US" w:eastAsia="zh-CN"/>
        </w:rPr>
        <w:t>创新任务上传</w:t>
      </w:r>
    </w:p>
    <w:p>
      <w:pPr>
        <w:pStyle w:val="2"/>
        <w:kinsoku/>
        <w:wordWrap/>
        <w:topLinePunct w:val="0"/>
        <w:autoSpaceDE/>
        <w:autoSpaceDN/>
        <w:bidi w:val="0"/>
        <w:spacing w:line="560" w:lineRule="exact"/>
      </w:pPr>
      <w:r>
        <w:rPr>
          <w:rFonts w:hint="eastAsia"/>
        </w:rPr>
        <w:t>根据集团创新任务管理办法，系统内部支持设置多种创新任务上传模板。支持个人、部门、企业等多层次上传创新工作，最终形成创新档案库。支持按照不同类型进行查看、下载创新任务信息。</w:t>
      </w:r>
    </w:p>
    <w:p>
      <w:pPr>
        <w:pStyle w:val="8"/>
        <w:kinsoku/>
        <w:wordWrap/>
        <w:topLinePunct w:val="0"/>
        <w:autoSpaceDE/>
        <w:autoSpaceDN/>
        <w:bidi w:val="0"/>
        <w:spacing w:before="198" w:after="198" w:line="560" w:lineRule="exact"/>
        <w:rPr>
          <w:highlight w:val="none"/>
        </w:rPr>
      </w:pPr>
      <w:r>
        <w:rPr>
          <w:rFonts w:hint="eastAsia"/>
          <w:highlight w:val="none"/>
          <w:lang w:val="en-US" w:eastAsia="zh-CN"/>
        </w:rPr>
        <w:t>创新任务跟踪</w:t>
      </w:r>
    </w:p>
    <w:p>
      <w:pPr>
        <w:pStyle w:val="2"/>
        <w:kinsoku/>
        <w:wordWrap/>
        <w:topLinePunct w:val="0"/>
        <w:autoSpaceDE/>
        <w:autoSpaceDN/>
        <w:bidi w:val="0"/>
        <w:spacing w:line="560" w:lineRule="exact"/>
        <w:rPr>
          <w:rFonts w:hint="eastAsia" w:eastAsia="方正仿宋_GBK"/>
          <w:highlight w:val="none"/>
          <w:lang w:eastAsia="zh-CN"/>
        </w:rPr>
      </w:pPr>
      <w:r>
        <w:rPr>
          <w:rFonts w:hint="eastAsia"/>
          <w:highlight w:val="none"/>
        </w:rPr>
        <w:t>系统支持自定义创新任务报表，按需定制。任务统计，周期性统计创新任务。创新任务过程查询，快速跟踪创新任务执行情况。支持自定义整改时间节点、整改责任人和部门、反馈情况、跟踪创新任务落实情况，并按照节点要求触发至责任人回复创新任务情况</w:t>
      </w:r>
      <w:r>
        <w:rPr>
          <w:rFonts w:hint="eastAsia"/>
          <w:highlight w:val="none"/>
          <w:lang w:eastAsia="zh-CN"/>
        </w:rPr>
        <w:t>。</w:t>
      </w:r>
    </w:p>
    <w:p>
      <w:pPr>
        <w:pStyle w:val="8"/>
        <w:kinsoku/>
        <w:wordWrap/>
        <w:topLinePunct w:val="0"/>
        <w:autoSpaceDE/>
        <w:autoSpaceDN/>
        <w:bidi w:val="0"/>
        <w:spacing w:before="198" w:after="198" w:line="560" w:lineRule="exact"/>
        <w:rPr>
          <w:highlight w:val="none"/>
        </w:rPr>
      </w:pPr>
      <w:r>
        <w:rPr>
          <w:rFonts w:hint="eastAsia"/>
          <w:highlight w:val="none"/>
          <w:lang w:val="en-US" w:eastAsia="zh-CN"/>
        </w:rPr>
        <w:t>提交完成情况</w:t>
      </w:r>
    </w:p>
    <w:p>
      <w:pPr>
        <w:kinsoku/>
        <w:wordWrap/>
        <w:topLinePunct w:val="0"/>
        <w:autoSpaceDE/>
        <w:autoSpaceDN/>
        <w:bidi w:val="0"/>
        <w:spacing w:line="560" w:lineRule="exact"/>
        <w:ind w:firstLine="604"/>
        <w:rPr>
          <w:rFonts w:hint="eastAsia" w:ascii="方正仿宋_GBK" w:hAnsi="方正仿宋_GBK"/>
          <w:snapToGrid w:val="0"/>
        </w:rPr>
      </w:pPr>
      <w:r>
        <w:rPr>
          <w:rFonts w:hint="eastAsia" w:ascii="方正仿宋_GBK" w:hAnsi="方正仿宋_GBK"/>
          <w:snapToGrid w:val="0"/>
        </w:rPr>
        <w:t>创新任务完成情况可以按不同的创新任务及不同分类维度的创新任务的完成情况，集团及各子公司可通过创新任务进度进行报表上传。集团可以根据相应的权限进行分配督导。</w:t>
      </w:r>
    </w:p>
    <w:p>
      <w:pPr>
        <w:pStyle w:val="8"/>
        <w:kinsoku/>
        <w:wordWrap/>
        <w:topLinePunct w:val="0"/>
        <w:autoSpaceDE/>
        <w:autoSpaceDN/>
        <w:bidi w:val="0"/>
        <w:spacing w:before="198" w:after="198" w:line="560" w:lineRule="exact"/>
      </w:pPr>
      <w:r>
        <w:rPr>
          <w:rFonts w:hint="eastAsia"/>
        </w:rPr>
        <w:t>综合评价</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应支持企业对承担的各类科技项目、企业获得的著作权和专利等知识产权，自主创新组织体系建设完成情况按级别、完成阶段、投入、创新数量、经济效益、社会效益等维度进行综合评价，系统支持自定义考核类别，满足集团对不同阶段不同类型的创新项目进行综合评价考核。</w:t>
      </w:r>
    </w:p>
    <w:p>
      <w:pPr>
        <w:pStyle w:val="7"/>
        <w:kinsoku/>
        <w:wordWrap/>
        <w:topLinePunct w:val="0"/>
        <w:autoSpaceDE/>
        <w:autoSpaceDN/>
        <w:bidi w:val="0"/>
        <w:spacing w:before="198" w:after="198" w:line="560" w:lineRule="exact"/>
        <w:rPr>
          <w:rFonts w:hint="default"/>
        </w:rPr>
      </w:pPr>
      <w:r>
        <w:t>创新成果奖励</w:t>
      </w:r>
    </w:p>
    <w:p>
      <w:pPr>
        <w:kinsoku/>
        <w:wordWrap/>
        <w:topLinePunct w:val="0"/>
        <w:autoSpaceDE/>
        <w:autoSpaceDN/>
        <w:bidi w:val="0"/>
        <w:spacing w:line="560" w:lineRule="exact"/>
        <w:ind w:firstLine="604"/>
        <w:rPr>
          <w:rFonts w:hint="eastAsia" w:ascii="方正仿宋_GBK" w:hAnsi="方正仿宋_GBK"/>
          <w:snapToGrid w:val="0"/>
        </w:rPr>
      </w:pPr>
      <w:r>
        <w:rPr>
          <w:rFonts w:hint="eastAsia" w:ascii="方正仿宋_GBK" w:hAnsi="方正仿宋_GBK"/>
          <w:snapToGrid w:val="0"/>
        </w:rPr>
        <w:t>对创新成果进行奖励，包括创新成果的</w:t>
      </w:r>
      <w:r>
        <w:rPr>
          <w:rFonts w:hint="eastAsia" w:ascii="方正仿宋_GBK" w:hAnsi="方正仿宋_GBK"/>
          <w:snapToGrid w:val="0"/>
          <w:lang w:val="en-US" w:eastAsia="zh-CN"/>
        </w:rPr>
        <w:t>申报管理</w:t>
      </w:r>
      <w:r>
        <w:rPr>
          <w:rFonts w:hint="eastAsia" w:ascii="方正仿宋_GBK" w:hAnsi="方正仿宋_GBK"/>
          <w:snapToGrid w:val="0"/>
        </w:rPr>
        <w:t>、申报审核、奖励发放</w:t>
      </w:r>
      <w:r>
        <w:rPr>
          <w:rFonts w:hint="eastAsia" w:ascii="方正仿宋_GBK" w:hAnsi="方正仿宋_GBK"/>
          <w:snapToGrid w:val="0"/>
          <w:lang w:eastAsia="zh-CN"/>
        </w:rPr>
        <w:t>、</w:t>
      </w:r>
      <w:r>
        <w:rPr>
          <w:rFonts w:hint="eastAsia" w:ascii="方正仿宋_GBK" w:hAnsi="方正仿宋_GBK"/>
          <w:snapToGrid w:val="0"/>
          <w:lang w:val="en-US" w:eastAsia="zh-CN"/>
        </w:rPr>
        <w:t>结果管理</w:t>
      </w:r>
      <w:r>
        <w:rPr>
          <w:rFonts w:hint="eastAsia" w:ascii="方正仿宋_GBK" w:hAnsi="方正仿宋_GBK"/>
          <w:snapToGrid w:val="0"/>
        </w:rPr>
        <w:t>等。</w:t>
      </w:r>
    </w:p>
    <w:p>
      <w:pPr>
        <w:kinsoku/>
        <w:wordWrap/>
        <w:topLinePunct w:val="0"/>
        <w:autoSpaceDE/>
        <w:autoSpaceDN/>
        <w:bidi w:val="0"/>
        <w:spacing w:line="560" w:lineRule="exact"/>
        <w:ind w:firstLine="604"/>
        <w:rPr>
          <w:rFonts w:hint="eastAsia" w:ascii="方正仿宋_GBK" w:hAnsi="方正仿宋_GBK"/>
          <w:snapToGrid w:val="0"/>
        </w:rPr>
      </w:pPr>
      <w:r>
        <w:rPr>
          <w:rFonts w:hint="eastAsia" w:ascii="方正仿宋_GBK" w:hAnsi="方正仿宋_GBK"/>
          <w:snapToGrid w:val="0"/>
        </w:rPr>
        <w:t>1.申报管理</w:t>
      </w:r>
    </w:p>
    <w:p>
      <w:pPr>
        <w:kinsoku/>
        <w:wordWrap/>
        <w:topLinePunct w:val="0"/>
        <w:autoSpaceDE/>
        <w:autoSpaceDN/>
        <w:bidi w:val="0"/>
        <w:spacing w:line="560" w:lineRule="exact"/>
        <w:ind w:firstLine="604"/>
        <w:rPr>
          <w:rFonts w:hint="eastAsia" w:ascii="方正仿宋_GBK" w:hAnsi="方正仿宋_GBK"/>
          <w:snapToGrid w:val="0"/>
        </w:rPr>
      </w:pPr>
      <w:r>
        <w:rPr>
          <w:rFonts w:hint="eastAsia" w:ascii="方正仿宋_GBK" w:hAnsi="方正仿宋_GBK"/>
          <w:snapToGrid w:val="0"/>
        </w:rPr>
        <w:t>能够关联创新项目管理库，对于满足集团奖励评选条件的创新项目，支持在系统内进行奖励申报，通过项目编号或其他唯一性验证带出项目立项阶段已填报的信息，减少重复性录入工作及出错率，申报信息包括项目基本信息，项目成果简介、项目成果报告；支持对申报信息进行新增、修改、删除、查询、导出下载、打印等功能，申报信息提交后进入到审核流程。</w:t>
      </w:r>
    </w:p>
    <w:p>
      <w:pPr>
        <w:kinsoku/>
        <w:wordWrap/>
        <w:topLinePunct w:val="0"/>
        <w:autoSpaceDE/>
        <w:autoSpaceDN/>
        <w:bidi w:val="0"/>
        <w:spacing w:line="560" w:lineRule="exact"/>
        <w:ind w:firstLine="604"/>
        <w:rPr>
          <w:rFonts w:hint="eastAsia" w:ascii="方正仿宋_GBK" w:hAnsi="方正仿宋_GBK"/>
          <w:snapToGrid w:val="0"/>
        </w:rPr>
      </w:pPr>
      <w:r>
        <w:rPr>
          <w:rFonts w:hint="eastAsia" w:ascii="方正仿宋_GBK" w:hAnsi="方正仿宋_GBK"/>
          <w:snapToGrid w:val="0"/>
        </w:rPr>
        <w:t>2.申报审核</w:t>
      </w:r>
    </w:p>
    <w:p>
      <w:pPr>
        <w:kinsoku/>
        <w:wordWrap/>
        <w:topLinePunct w:val="0"/>
        <w:autoSpaceDE/>
        <w:autoSpaceDN/>
        <w:bidi w:val="0"/>
        <w:spacing w:line="560" w:lineRule="exact"/>
        <w:ind w:firstLine="604"/>
        <w:rPr>
          <w:rFonts w:hint="eastAsia" w:ascii="方正仿宋_GBK" w:hAnsi="方正仿宋_GBK"/>
          <w:snapToGrid w:val="0"/>
        </w:rPr>
      </w:pPr>
      <w:r>
        <w:rPr>
          <w:rFonts w:hint="eastAsia" w:ascii="方正仿宋_GBK" w:hAnsi="方正仿宋_GBK"/>
          <w:snapToGrid w:val="0"/>
        </w:rPr>
        <w:t>企业提交项目申报之后，通过审核，对不符合创新成果申报要求或者填写不规范的，支持回退到相关企业要求重新修改后提交审核。</w:t>
      </w:r>
    </w:p>
    <w:p>
      <w:pPr>
        <w:kinsoku/>
        <w:wordWrap/>
        <w:topLinePunct w:val="0"/>
        <w:autoSpaceDE/>
        <w:autoSpaceDN/>
        <w:bidi w:val="0"/>
        <w:spacing w:line="560" w:lineRule="exact"/>
        <w:ind w:firstLine="604"/>
        <w:rPr>
          <w:rFonts w:hint="eastAsia" w:ascii="方正仿宋_GBK" w:hAnsi="方正仿宋_GBK"/>
          <w:snapToGrid w:val="0"/>
        </w:rPr>
      </w:pPr>
      <w:r>
        <w:rPr>
          <w:rFonts w:hint="eastAsia" w:ascii="方正仿宋_GBK" w:hAnsi="方正仿宋_GBK"/>
          <w:snapToGrid w:val="0"/>
        </w:rPr>
        <w:t>3.奖励发放</w:t>
      </w:r>
    </w:p>
    <w:p>
      <w:pPr>
        <w:kinsoku/>
        <w:wordWrap/>
        <w:topLinePunct w:val="0"/>
        <w:autoSpaceDE/>
        <w:autoSpaceDN/>
        <w:bidi w:val="0"/>
        <w:spacing w:line="560" w:lineRule="exact"/>
        <w:ind w:firstLine="604"/>
        <w:rPr>
          <w:rFonts w:hint="eastAsia" w:ascii="方正仿宋_GBK" w:hAnsi="方正仿宋_GBK"/>
          <w:snapToGrid w:val="0"/>
        </w:rPr>
      </w:pPr>
      <w:r>
        <w:rPr>
          <w:rFonts w:hint="eastAsia" w:ascii="方正仿宋_GBK" w:hAnsi="方正仿宋_GBK"/>
          <w:snapToGrid w:val="0"/>
        </w:rPr>
        <w:t>创新成果奖励申请审批通过后，系统支持将该审批流程同步到财务资金部，生成财务凭证，由财务资金部安排奖金发放。</w:t>
      </w:r>
    </w:p>
    <w:p>
      <w:pPr>
        <w:kinsoku/>
        <w:wordWrap/>
        <w:topLinePunct w:val="0"/>
        <w:autoSpaceDE/>
        <w:autoSpaceDN/>
        <w:bidi w:val="0"/>
        <w:spacing w:line="560" w:lineRule="exact"/>
        <w:ind w:firstLine="604"/>
        <w:rPr>
          <w:rFonts w:hint="eastAsia" w:ascii="方正仿宋_GBK" w:hAnsi="方正仿宋_GBK"/>
          <w:snapToGrid w:val="0"/>
        </w:rPr>
      </w:pPr>
      <w:r>
        <w:rPr>
          <w:rFonts w:hint="eastAsia" w:ascii="方正仿宋_GBK" w:hAnsi="方正仿宋_GBK"/>
          <w:snapToGrid w:val="0"/>
        </w:rPr>
        <w:t>4.结果管理</w:t>
      </w:r>
    </w:p>
    <w:p>
      <w:pPr>
        <w:kinsoku/>
        <w:wordWrap/>
        <w:topLinePunct w:val="0"/>
        <w:autoSpaceDE/>
        <w:autoSpaceDN/>
        <w:bidi w:val="0"/>
        <w:spacing w:line="560" w:lineRule="exact"/>
        <w:ind w:firstLine="604"/>
        <w:rPr>
          <w:rFonts w:hint="eastAsia" w:ascii="方正仿宋_GBK" w:hAnsi="方正仿宋_GBK"/>
          <w:snapToGrid w:val="0"/>
        </w:rPr>
      </w:pPr>
      <w:r>
        <w:rPr>
          <w:rFonts w:hint="eastAsia" w:ascii="方正仿宋_GBK" w:hAnsi="方正仿宋_GBK"/>
          <w:snapToGrid w:val="0"/>
        </w:rPr>
        <w:t>支持对已申报并获奖和已申报未获奖的项目的分类管理，已申报并获奖项可一键流转到获奖项目管理库，项目库应包含项目获奖情况及项目跟踪管理情况；支持已申报未获奖项目可向申报单位提交情况反馈，支持未获奖的项目可再次申报，已获奖项目归档后不可再次申报功能。</w:t>
      </w:r>
    </w:p>
    <w:p>
      <w:pPr>
        <w:pStyle w:val="7"/>
        <w:kinsoku/>
        <w:wordWrap/>
        <w:topLinePunct w:val="0"/>
        <w:autoSpaceDE/>
        <w:autoSpaceDN/>
        <w:bidi w:val="0"/>
        <w:spacing w:before="198" w:after="198" w:line="560" w:lineRule="exact"/>
        <w:rPr>
          <w:rFonts w:hint="default"/>
        </w:rPr>
      </w:pPr>
      <w:r>
        <w:t>创新政策库管理</w:t>
      </w:r>
    </w:p>
    <w:p>
      <w:pPr>
        <w:kinsoku/>
        <w:wordWrap/>
        <w:topLinePunct w:val="0"/>
        <w:autoSpaceDE/>
        <w:autoSpaceDN/>
        <w:bidi w:val="0"/>
        <w:spacing w:line="560" w:lineRule="exact"/>
        <w:ind w:firstLine="604"/>
        <w:rPr>
          <w:rFonts w:hint="eastAsia" w:ascii="方正仿宋_GBK" w:hAnsi="方正仿宋_GBK"/>
          <w:snapToGrid w:val="0"/>
        </w:rPr>
      </w:pPr>
      <w:r>
        <w:rPr>
          <w:rFonts w:hint="eastAsia" w:ascii="方正仿宋_GBK" w:hAnsi="方正仿宋_GBK"/>
          <w:snapToGrid w:val="0"/>
        </w:rPr>
        <w:t>在创新项目申报阶段，企业往往需要查询相关法律法规、政策文件等用于指导申报材料的编写。系统应支持整理、录入、分类、归档、下载企业涉及自主创新的科技类信息、知识产权类信息等，包括相关法律法规、政策文件、集团创新类规章制度等，实现统一的创新政策库管理，使企业方便快捷地查询到创新信息，为科技类、知识产权类创新项目申报做好准备。</w:t>
      </w:r>
    </w:p>
    <w:p>
      <w:pPr>
        <w:pStyle w:val="7"/>
        <w:tabs>
          <w:tab w:val="left" w:pos="1282"/>
          <w:tab w:val="clear" w:pos="575"/>
        </w:tabs>
        <w:kinsoku/>
        <w:wordWrap/>
        <w:topLinePunct w:val="0"/>
        <w:autoSpaceDE/>
        <w:autoSpaceDN/>
        <w:bidi w:val="0"/>
        <w:spacing w:before="198" w:after="198" w:line="560" w:lineRule="exact"/>
        <w:rPr>
          <w:highlight w:val="none"/>
        </w:rPr>
      </w:pPr>
      <w:r>
        <w:rPr>
          <w:rFonts w:hint="eastAsia"/>
          <w:highlight w:val="none"/>
        </w:rPr>
        <w:t>知识产权管理</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以知识产权申请和审查流程为主线，围绕日常知识产权管理工作中的各种往来文件、通知、任务、费用等繁杂事务，贯穿整个知识产权管理工作过程，能够帮助用户实现内部知识产权管理的网络化、流程化管理，此外还能够将简单的数据信息量化制成各类图表，预警潜在的诉讼风险，为领导决策项目提供依据，最终帮助用户增强自主创新能力，提高核心竞争力。</w:t>
      </w:r>
    </w:p>
    <w:p>
      <w:pPr>
        <w:kinsoku/>
        <w:wordWrap/>
        <w:topLinePunct w:val="0"/>
        <w:autoSpaceDE/>
        <w:autoSpaceDN/>
        <w:bidi w:val="0"/>
        <w:spacing w:line="560" w:lineRule="exact"/>
        <w:ind w:firstLine="604"/>
      </w:pPr>
      <w:r>
        <w:rPr>
          <w:rFonts w:hint="eastAsia"/>
        </w:rPr>
        <w:t>1.知识产权登记</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针对专利、商标、软件著作权、域名等知识产权的基本信息、发起申请注册或登记的审查管理、办理管理、变更管理和后继缴费、续费、争议、变更等建立一整套知识产权信息库，将公司已申请的知识产权、今后的知识产权进行统一登记管理。企业对各类知识产权证书扫描上传系统，系统自动识别文字信息进行归类汇总、数据比较，可实现缴费提醒、过期预警等功能。</w:t>
      </w:r>
    </w:p>
    <w:p>
      <w:pPr>
        <w:kinsoku/>
        <w:wordWrap/>
        <w:topLinePunct w:val="0"/>
        <w:autoSpaceDE/>
        <w:autoSpaceDN/>
        <w:bidi w:val="0"/>
        <w:spacing w:line="560" w:lineRule="exact"/>
        <w:ind w:firstLine="604"/>
      </w:pPr>
      <w:r>
        <w:rPr>
          <w:rFonts w:hint="eastAsia"/>
        </w:rPr>
        <w:t>2.知识产权查询</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将</w:t>
      </w:r>
      <w:r>
        <w:rPr>
          <w:rFonts w:hint="eastAsia" w:ascii="方正仿宋_GBK" w:hAnsi="方正仿宋_GBK"/>
          <w:lang w:val="en-US" w:eastAsia="zh-CN"/>
        </w:rPr>
        <w:t>集团、分子</w:t>
      </w:r>
      <w:r>
        <w:rPr>
          <w:rFonts w:hint="eastAsia" w:ascii="方正仿宋_GBK" w:hAnsi="方正仿宋_GBK"/>
        </w:rPr>
        <w:t>公司进行知识产权承办、审查、归档、事务办理等操作的人员根据不同的工作分工建立分级查询、修改、删除等操作权限。在系统中实现对知识产权管理流程的自动流转、数据关联、信息检索、统计分析、过程监控、预警警示等功能。</w:t>
      </w:r>
    </w:p>
    <w:p>
      <w:pPr>
        <w:pStyle w:val="6"/>
        <w:kinsoku/>
        <w:wordWrap/>
        <w:topLinePunct w:val="0"/>
        <w:autoSpaceDE/>
        <w:autoSpaceDN/>
        <w:bidi w:val="0"/>
        <w:spacing w:before="198" w:after="198" w:line="560" w:lineRule="exact"/>
      </w:pPr>
      <w:bookmarkStart w:id="184" w:name="_Toc17498"/>
      <w:bookmarkStart w:id="185" w:name="_Toc14968"/>
      <w:bookmarkStart w:id="186" w:name="_Toc25022"/>
      <w:bookmarkStart w:id="187" w:name="_Toc5781"/>
      <w:r>
        <w:rPr>
          <w:rFonts w:hint="eastAsia"/>
        </w:rPr>
        <w:t>数智化财务管理</w:t>
      </w:r>
      <w:bookmarkEnd w:id="184"/>
      <w:bookmarkEnd w:id="185"/>
      <w:bookmarkEnd w:id="186"/>
      <w:bookmarkEnd w:id="187"/>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集中管控、统一规范。建立覆盖全集团的集中、统一财务核算体系，满足多公司财务核算的需要，提高财务核算信息的集中程度，提高财务核算政策及基础数据管理的统一、规范性。</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提高财务核算工作效率。借助功能更加灵活、强大的集团财务核算软件系统，实现更加灵活、强大的查询统计应用，实现会计核算主表、内部管理分析报表的自动取数计算、审核、汇总，提高报表编制工作效率。提高集团内部往来凭证编制与内部对账的工作效率。促进财务核算精细化管理。在“辅助核算、集团内部对账、往来管理”方面实现更加精细化、多维度的管理，从而提高财务统计分析的水平、提高财务监督水平。主要包括财务预算管理、业财一体化的核算管理、报表管理、资金管理、业税一体化管理、财务分析管理、财务共享等。</w:t>
      </w:r>
    </w:p>
    <w:p>
      <w:pPr>
        <w:pStyle w:val="7"/>
        <w:kinsoku/>
        <w:wordWrap/>
        <w:topLinePunct w:val="0"/>
        <w:autoSpaceDE/>
        <w:autoSpaceDN/>
        <w:bidi w:val="0"/>
        <w:spacing w:before="198" w:after="198" w:line="560" w:lineRule="exact"/>
        <w:rPr>
          <w:rFonts w:hint="default"/>
        </w:rPr>
      </w:pPr>
      <w:r>
        <w:t>财务集中核算</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财务核算系统用于财务工作的事后核算，主要是记录、核算、反映和分析资金在集团经济活动中的变动过程及其结果，反映集团的经营活动情况，监督集团的经营活动。</w:t>
      </w:r>
    </w:p>
    <w:p>
      <w:pPr>
        <w:pStyle w:val="8"/>
        <w:kinsoku/>
        <w:wordWrap/>
        <w:topLinePunct w:val="0"/>
        <w:autoSpaceDE/>
        <w:autoSpaceDN/>
        <w:bidi w:val="0"/>
        <w:spacing w:before="198" w:after="198" w:line="560" w:lineRule="exact"/>
      </w:pPr>
      <w:r>
        <w:rPr>
          <w:rFonts w:hint="eastAsia"/>
        </w:rPr>
        <w:t>总账管理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总账管理是集中核算的基础和核心，所有发生业务的最终财务结果都要在总账模块中进行反映。总账</w:t>
      </w:r>
      <w:r>
        <w:rPr>
          <w:rFonts w:hint="eastAsia" w:ascii="方正仿宋_GBK" w:hAnsi="方正仿宋_GBK"/>
          <w:snapToGrid w:val="0"/>
          <w:lang w:eastAsia="zh-CN"/>
        </w:rPr>
        <w:t>与其他</w:t>
      </w:r>
      <w:r>
        <w:rPr>
          <w:rFonts w:hint="eastAsia" w:ascii="方正仿宋_GBK" w:hAnsi="方正仿宋_GBK"/>
          <w:snapToGrid w:val="0"/>
        </w:rPr>
        <w:t>模块进行实时无缝集成，可以实现动态的业务财务一体化，保障财务数据与业务数据的同步性，为集团的财务管理提供及时丰富的数据。</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总账管理包括但不限于初始建账、凭证处理、账表查询、正式账簿、月末处理功能。可以完成数量核算和多币种核算。</w:t>
      </w:r>
    </w:p>
    <w:p>
      <w:pPr>
        <w:kinsoku/>
        <w:wordWrap/>
        <w:topLinePunct w:val="0"/>
        <w:autoSpaceDE/>
        <w:autoSpaceDN/>
        <w:bidi w:val="0"/>
        <w:spacing w:line="560" w:lineRule="exact"/>
        <w:ind w:left="604" w:leftChars="200" w:firstLine="0" w:firstLineChars="0"/>
        <w:rPr>
          <w:rFonts w:ascii="方正仿宋_GBK" w:hAnsi="方正仿宋_GBK"/>
          <w:snapToGrid w:val="0"/>
        </w:rPr>
      </w:pPr>
      <w:r>
        <w:rPr>
          <w:rFonts w:hint="eastAsia" w:ascii="方正仿宋_GBK" w:hAnsi="方正仿宋_GBK"/>
          <w:snapToGrid w:val="0"/>
        </w:rPr>
        <w:t>1.初始建账</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由集团总部统一设置会计科目规则，需经过严格的授权才能对科目的设置进行修改、新增、删除等操作，会计科目执行到末级管控。</w:t>
      </w:r>
    </w:p>
    <w:p>
      <w:pPr>
        <w:kinsoku/>
        <w:wordWrap/>
        <w:topLinePunct w:val="0"/>
        <w:autoSpaceDE/>
        <w:autoSpaceDN/>
        <w:bidi w:val="0"/>
        <w:spacing w:line="560" w:lineRule="exact"/>
        <w:ind w:left="604" w:leftChars="200" w:firstLine="0" w:firstLineChars="0"/>
        <w:rPr>
          <w:rFonts w:ascii="方正仿宋_GBK" w:hAnsi="方正仿宋_GBK"/>
          <w:snapToGrid w:val="0"/>
        </w:rPr>
      </w:pPr>
      <w:r>
        <w:rPr>
          <w:rFonts w:hint="eastAsia" w:ascii="方正仿宋_GBK" w:hAnsi="方正仿宋_GBK"/>
          <w:snapToGrid w:val="0"/>
        </w:rPr>
        <w:t>2.凭证处理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可提供严密的制单控制，保证制单的正确性。</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可提供凭证标错及其标错凭证过滤功能。</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制单时提供自动计算借贷方差额，快速校验借贷平衡。</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制单时提供自动计算借贷方差额，并能提供同一凭证中进行多个项目核算，并且根据凭证控制要求确保每个项目借贷方金额平衡。</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提供日常会计凭证自动生成功能，也能提供交换凭证借贷方向，抵消会计凭证功能自动生成。</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提供制单人和审核人不能同为一人的控制功能。</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审核流程控制，提供取消审核、签字退回上一步处理人的流程退回功能。</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提供在线审结后凭证的打印凭证功能。</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3.凭证</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在集中核算模式下，提供凭证功能。</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通过凭证功能，高效准确的完成相关内部交易、往来数据的同步，为账套数据合并提供高效的、准确的数据保证；并根据集团实际业务，提供强制协同和提醒协同等不同的协同类型，保证集中核算的顺利开展。</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4.账表查询</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系统提供总账、明细账、辅助账、多栏账、辅助组合账（交叉查询）等正式账簿在线查询打印功能。</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同时系统提供明细账、总账、凭证、原始单据联查功能。</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5.正式账簿</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账簿类型与财务组织关联后可以形成一套完整的财务核算账簿，包括往来对账、往来核销、往来账分析等内容。</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根据集团财务披露的要求，提供账簿级别的重分类管理功能，可以定义往来重分类规则，实现往来重分类查询和重分类账龄。</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6.多语言多账簿</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集团公司可按不同报告要求建立多套科目体系。</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不同报告账簿类型选择不同的科目体系、本位币、会计期间方案。</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7.出纳管理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处理出纳的日常业务，包括现金业务、银行业务、票据管理及其相关现金类报表等内容。</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支持国内主要银行提供的对账单自动导入功能，实现自动和手动对账结合，并支持自动生成银行存款余额调节表等报表。</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8.月末处理功能</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系统提供汇兑损益、期间损益、自定义结转等功能，既能按科目设置转账模板又能按科目与项目辅助组合进行科目结转；结转完成后，提供试算平衡检查，执行月末结账工作。</w:t>
      </w:r>
    </w:p>
    <w:p>
      <w:pPr>
        <w:pStyle w:val="8"/>
        <w:kinsoku/>
        <w:wordWrap/>
        <w:topLinePunct w:val="0"/>
        <w:autoSpaceDE/>
        <w:autoSpaceDN/>
        <w:bidi w:val="0"/>
        <w:spacing w:before="198" w:after="198" w:line="560" w:lineRule="exact"/>
      </w:pPr>
      <w:r>
        <w:rPr>
          <w:rFonts w:hint="eastAsia"/>
        </w:rPr>
        <w:t>往来管理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企业在实际的业务运营活动中，会</w:t>
      </w:r>
      <w:r>
        <w:rPr>
          <w:rFonts w:hint="eastAsia" w:ascii="方正仿宋_GBK" w:hAnsi="方正仿宋_GBK"/>
          <w:snapToGrid w:val="0"/>
          <w:lang w:eastAsia="zh-CN"/>
        </w:rPr>
        <w:t>与其他</w:t>
      </w:r>
      <w:r>
        <w:rPr>
          <w:rFonts w:hint="eastAsia" w:ascii="方正仿宋_GBK" w:hAnsi="方正仿宋_GBK"/>
          <w:snapToGrid w:val="0"/>
        </w:rPr>
        <w:t>单位和个人发生比较频繁的应收、应付账款业务，工作量大，拖欠款情况也时有发生，因此应收应付账款的管理是一项相当繁杂的工作。往来管理系统通过对应收应付款项全方位的管理，实现往来业务与相关业务的紧密连结，辅助企业业务流，加强对资金流入流出的控制管理，强化对资金的控制，同时也可以处理收款清账催款业务。系统提供针对客户和供应商进行往来管理的应收应付管理系统，不仅可以帮助企业完成往来核销业务，同时还可以随时查询客户欠款、应付情况与账龄分析和预测；系统还提供了信用额度预警控制与分析功能；并且还可以综合客户的应收应付，反映客户往来款项的真实情况。</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板块支持企业与客户、供应商、部门和业务各所形成的应收款、应付款、收款、退款等业务，为企业提供各种往来款项的处理、核销（支持往来业务的核销、核销记录的封存等）及灵活的查询、统计分析功能。</w:t>
      </w:r>
    </w:p>
    <w:p>
      <w:pPr>
        <w:kinsoku/>
        <w:wordWrap/>
        <w:topLinePunct w:val="0"/>
        <w:autoSpaceDE/>
        <w:autoSpaceDN/>
        <w:bidi w:val="0"/>
        <w:spacing w:line="560" w:lineRule="exact"/>
        <w:ind w:firstLine="604"/>
        <w:rPr>
          <w:rFonts w:ascii="方正仿宋_GBK" w:hAnsi="方正仿宋_GBK"/>
          <w:snapToGrid w:val="0"/>
        </w:rPr>
      </w:pPr>
      <w:r>
        <w:rPr>
          <w:rFonts w:hint="eastAsia"/>
        </w:rPr>
        <w:t>板块支持</w:t>
      </w:r>
      <w:r>
        <w:rPr>
          <w:rFonts w:hint="eastAsia" w:ascii="方正仿宋_GBK" w:hAnsi="方正仿宋_GBK"/>
          <w:snapToGrid w:val="0"/>
        </w:rPr>
        <w:t>单一外币及多外币核算功能，并支持核算往来账户数量等，完成往来核算及管理的所有需要。</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板块需实现各类别应收应付款客商往来账项的报表统计与展现功能，支持余额构成、账龄、坏账的分析查询，支持往来核销记录的查询。</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w:t>
      </w:r>
      <w:r>
        <w:rPr>
          <w:rFonts w:ascii="方正仿宋_GBK" w:hAnsi="方正仿宋_GBK"/>
          <w:snapToGrid w:val="0"/>
        </w:rPr>
        <w:t>.</w:t>
      </w:r>
      <w:r>
        <w:rPr>
          <w:rFonts w:hint="eastAsia" w:ascii="方正仿宋_GBK" w:hAnsi="方正仿宋_GBK"/>
          <w:snapToGrid w:val="0"/>
        </w:rPr>
        <w:t>应收管理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应收管理模块支持完成应收初始，支持对往来单位、个人及部门应收的管理，支持收款单和发票的核销，支持现金折扣、多币种核销和汇兑损益计算，支持应收账龄分析，支持信用额度预警控制与分析，结合应付管理模块反映客户往来款项真实情况等。</w:t>
      </w:r>
    </w:p>
    <w:p>
      <w:pPr>
        <w:numPr>
          <w:ilvl w:val="0"/>
          <w:numId w:val="44"/>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基础数据</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该功能支持指全集团构架下所有</w:t>
      </w:r>
      <w:r>
        <w:rPr>
          <w:rFonts w:hint="eastAsia" w:ascii="方正仿宋_GBK" w:hAnsi="方正仿宋_GBK"/>
          <w:snapToGrid w:val="0"/>
          <w:lang w:val="en-US" w:eastAsia="zh-CN"/>
        </w:rPr>
        <w:t>企业使用</w:t>
      </w:r>
      <w:r>
        <w:rPr>
          <w:rFonts w:hint="eastAsia" w:ascii="方正仿宋_GBK" w:hAnsi="方正仿宋_GBK"/>
          <w:snapToGrid w:val="0"/>
        </w:rPr>
        <w:t>的公共应收单据的定义。</w:t>
      </w:r>
    </w:p>
    <w:p>
      <w:pPr>
        <w:numPr>
          <w:ilvl w:val="0"/>
          <w:numId w:val="44"/>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应收处理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该功能支持应收登记功能，提供销售产生的应收账款、非销售产生的其他应收款的记录等。</w:t>
      </w:r>
    </w:p>
    <w:p>
      <w:pPr>
        <w:numPr>
          <w:ilvl w:val="0"/>
          <w:numId w:val="44"/>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收款处理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该功能支持通过收款单处理应收账款回收、预收账款、合并收款等多种业务，通过复核形成收款记录。通过收款单认领，获取并认领资金系统中的收款记录。</w:t>
      </w:r>
    </w:p>
    <w:p>
      <w:pPr>
        <w:numPr>
          <w:ilvl w:val="0"/>
          <w:numId w:val="44"/>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应收核销处理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主要实现应收单与收款单之间的核销，并形成应收借方记账。</w:t>
      </w:r>
    </w:p>
    <w:p>
      <w:pPr>
        <w:numPr>
          <w:ilvl w:val="0"/>
          <w:numId w:val="44"/>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应收账龄分析</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主要对应收账款进行账龄分析。</w:t>
      </w:r>
    </w:p>
    <w:p>
      <w:pPr>
        <w:numPr>
          <w:ilvl w:val="0"/>
          <w:numId w:val="44"/>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应收账务处理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主要用于查看核算组织的会计期间状态、打开未来的会计期间、初始下一年度会计期间操作。</w:t>
      </w:r>
    </w:p>
    <w:p>
      <w:pPr>
        <w:numPr>
          <w:ilvl w:val="0"/>
          <w:numId w:val="44"/>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风险管理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该功能支持对应收计提方案进行定义，支持按照设置的坏账计提对应收账款进行坏账计提准备，支持对已经确认无法收回的应收账款进行坏账确认。</w:t>
      </w:r>
    </w:p>
    <w:p>
      <w:pPr>
        <w:numPr>
          <w:ilvl w:val="0"/>
          <w:numId w:val="44"/>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应收查询</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该功能支持对应收坏账、余额的查询。</w:t>
      </w:r>
    </w:p>
    <w:p>
      <w:pPr>
        <w:kinsoku/>
        <w:wordWrap/>
        <w:topLinePunct w:val="0"/>
        <w:autoSpaceDE/>
        <w:autoSpaceDN/>
        <w:bidi w:val="0"/>
        <w:spacing w:line="560" w:lineRule="exact"/>
        <w:ind w:firstLine="604"/>
      </w:pPr>
      <w:r>
        <w:rPr>
          <w:rFonts w:hint="eastAsia" w:ascii="方正仿宋_GBK" w:hAnsi="方正仿宋_GBK"/>
          <w:snapToGrid w:val="0"/>
        </w:rPr>
        <w:t>2</w:t>
      </w:r>
      <w:r>
        <w:rPr>
          <w:rFonts w:ascii="方正仿宋_GBK" w:hAnsi="方正仿宋_GBK"/>
          <w:snapToGrid w:val="0"/>
        </w:rPr>
        <w:t>.</w:t>
      </w:r>
      <w:r>
        <w:rPr>
          <w:rFonts w:hint="eastAsia" w:ascii="方正仿宋_GBK" w:hAnsi="方正仿宋_GBK"/>
          <w:snapToGrid w:val="0"/>
        </w:rPr>
        <w:t>应付</w:t>
      </w:r>
      <w:r>
        <w:rPr>
          <w:rFonts w:hint="eastAsia"/>
        </w:rPr>
        <w:t>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应付管理模块应能实现采购和账务系统的完全集成，支持账龄分析、模糊查询、统计分析。其中统计分析应可提供应付明细账、应付总账、账龄分析历史记录查询。另外，应付管理模块也支持结合应收管理模块反映客户往来款项真实情况。</w:t>
      </w:r>
    </w:p>
    <w:p>
      <w:pPr>
        <w:numPr>
          <w:ilvl w:val="0"/>
          <w:numId w:val="45"/>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基础数据</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该功能支持按照业务需求对应付单据类型进行定义。</w:t>
      </w:r>
    </w:p>
    <w:p>
      <w:pPr>
        <w:numPr>
          <w:ilvl w:val="0"/>
          <w:numId w:val="45"/>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应付处理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该功能支持应付登记，提供采购产生的应付账款、非采购产生的其他应付款的记录。</w:t>
      </w:r>
    </w:p>
    <w:p>
      <w:pPr>
        <w:numPr>
          <w:ilvl w:val="0"/>
          <w:numId w:val="45"/>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付款处理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该功能支持付款申请的发起。</w:t>
      </w:r>
    </w:p>
    <w:p>
      <w:pPr>
        <w:numPr>
          <w:ilvl w:val="0"/>
          <w:numId w:val="45"/>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应付核销处理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用于建立付款和应付的核销关系，通过付款单据和应付单据的核销，更新应付单和付款单的余额情况。</w:t>
      </w:r>
    </w:p>
    <w:p>
      <w:pPr>
        <w:numPr>
          <w:ilvl w:val="0"/>
          <w:numId w:val="45"/>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应付账龄分析</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主要对应付账款进行账龄分析。</w:t>
      </w:r>
    </w:p>
    <w:p>
      <w:pPr>
        <w:numPr>
          <w:ilvl w:val="0"/>
          <w:numId w:val="45"/>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应付账务处理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主要用于查看核算组织的会计期间状态、打开未来的会计期间、取消会计期间月结、以及初始下一年度会计期间操作。</w:t>
      </w:r>
    </w:p>
    <w:p>
      <w:pPr>
        <w:numPr>
          <w:ilvl w:val="0"/>
          <w:numId w:val="45"/>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应付查询</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查询应付账户的余额数据。</w:t>
      </w:r>
    </w:p>
    <w:p>
      <w:pPr>
        <w:pStyle w:val="8"/>
        <w:kinsoku/>
        <w:wordWrap/>
        <w:topLinePunct w:val="0"/>
        <w:autoSpaceDE/>
        <w:autoSpaceDN/>
        <w:bidi w:val="0"/>
        <w:spacing w:before="198" w:after="198" w:line="560" w:lineRule="exact"/>
      </w:pPr>
      <w:r>
        <w:rPr>
          <w:rFonts w:hint="eastAsia"/>
        </w:rPr>
        <w:t>固定资产</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本系统适应于</w:t>
      </w:r>
      <w:r>
        <w:rPr>
          <w:rFonts w:hint="eastAsia" w:ascii="方正仿宋_GBK" w:hAnsi="方正仿宋_GBK"/>
          <w:snapToGrid w:val="0"/>
          <w:lang w:val="en-US" w:eastAsia="zh-CN"/>
        </w:rPr>
        <w:t>集团及</w:t>
      </w:r>
      <w:r>
        <w:rPr>
          <w:rFonts w:hint="eastAsia" w:ascii="方正仿宋_GBK" w:hAnsi="方正仿宋_GBK"/>
          <w:snapToGrid w:val="0"/>
        </w:rPr>
        <w:t>企业进行固定资产的核算及管理。包括资产卡片定义、资产项目定义、资产的增加、减少、变卖、清理等、资产评估、资产原值重置、大修理、资产内部调拨、折旧计提与分摊、自动形成记账凭证。可进行各种资产数据的查询统计与分析，资产变动情况查询、折旧查询、资产明细账、各种单据查询，可对逾龄资产进行查询汇总，可以按资产的占用、状态、类别、来源、用途、价值进行分析。</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1.需支持与总账系统无缝对接，自动生成相应凭证。可由excel表格批量导入自动生成卡片。</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2.需提供</w:t>
      </w:r>
      <w:r>
        <w:rPr>
          <w:rFonts w:hint="eastAsia" w:ascii="方正仿宋_GBK" w:hAnsi="方正仿宋_GBK"/>
          <w:snapToGrid w:val="0"/>
          <w:lang w:eastAsia="zh-CN"/>
        </w:rPr>
        <w:t>灵活的定义</w:t>
      </w:r>
      <w:r>
        <w:rPr>
          <w:rFonts w:hint="eastAsia" w:ascii="方正仿宋_GBK" w:hAnsi="方正仿宋_GBK"/>
          <w:snapToGrid w:val="0"/>
        </w:rPr>
        <w:t>固定资产的大类及明细分类的功能，方便统计分析。</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3.完善的固定资产卡片信息，能够对固定资产的重要财务信息、产权证信息、地点、使用人以及是否对外租赁等信息进行详细的管理。对于房产的产权证办理情况必须在台账中有所体现，凡是已办理产权证的需填报已办理，并补充填报产权证号。固定资产卡片和账簿能够反映固定资产减值准备的情况。</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4.实现资产变动管理，包括资产增加、转移、报废、租赁、投保等管理，财务处理清晰，自动生成相关凭证及管理数据。</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5.提供多种固定资产折旧方法的自动计算（包括直线法、产量法、年数总和法、双倍余额递减法等），支持折旧凭证的自动生成，可对不同的账套设置不同的折旧方法。折旧计算应支持按照多部门、多项目自动分摊计提折旧的方式，提供按照部门或者项目等输入分摊比例，每月自动计算相应的折旧。计提的折旧数据能自动生成凭证，并自动传递到总账系统中。</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6.系统提供处理固定资产部分或全部报废，并可以自动生成报废损益凭证。</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7.实现固定资产的日常核算和管理功能，完成固定资产增减、变动等账务处理，提供条件查询及结果汇总的功能。</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8.对固定资产可分部门、分类别、分使用人、分状态（如已使用、未使用、出租、出借等）等分别进行管理，并能满足查询需要。能输出固定资产分类统计表、固定资产台账、固定资产明细表、固定资产增减变动明细表等所需报表。</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9.能够分类别、分项目、分单项固定资产及固定资产组进行固定资产减值准备的核算，并根据计提的减值准备自动调整折旧的计提数。</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10.要求提供灵活的自定义功能，如：类别、卡片信息、折旧方法、卡片编码规则、固定资产报表格式等。</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11.应能够记录和查询固定资产的状况</w:t>
      </w:r>
      <w:r>
        <w:rPr>
          <w:rFonts w:hint="eastAsia" w:ascii="方正仿宋_GBK" w:hAnsi="方正仿宋_GBK"/>
          <w:snapToGrid w:val="0"/>
          <w:lang w:eastAsia="zh-CN"/>
        </w:rPr>
        <w:t>，</w:t>
      </w:r>
      <w:r>
        <w:rPr>
          <w:rFonts w:hint="eastAsia" w:ascii="方正仿宋_GBK" w:hAnsi="方正仿宋_GBK"/>
          <w:snapToGrid w:val="0"/>
        </w:rPr>
        <w:t>例如是否闲置/准备处置/抵押/出租等。如已被抵押</w:t>
      </w:r>
      <w:r>
        <w:rPr>
          <w:rFonts w:hint="eastAsia" w:ascii="方正仿宋_GBK" w:hAnsi="方正仿宋_GBK"/>
          <w:snapToGrid w:val="0"/>
          <w:lang w:eastAsia="zh-CN"/>
        </w:rPr>
        <w:t>，</w:t>
      </w:r>
      <w:r>
        <w:rPr>
          <w:rFonts w:hint="eastAsia" w:ascii="方正仿宋_GBK" w:hAnsi="方正仿宋_GBK"/>
          <w:snapToGrid w:val="0"/>
        </w:rPr>
        <w:t>应能链接至现金银行管理中相关贷款的情况。如为出租</w:t>
      </w:r>
      <w:r>
        <w:rPr>
          <w:rFonts w:hint="eastAsia" w:ascii="方正仿宋_GBK" w:hAnsi="方正仿宋_GBK"/>
          <w:snapToGrid w:val="0"/>
          <w:lang w:eastAsia="zh-CN"/>
        </w:rPr>
        <w:t>，</w:t>
      </w:r>
      <w:r>
        <w:rPr>
          <w:rFonts w:hint="eastAsia" w:ascii="方正仿宋_GBK" w:hAnsi="方正仿宋_GBK"/>
          <w:snapToGrid w:val="0"/>
        </w:rPr>
        <w:t>应能反映租赁方的信息</w:t>
      </w:r>
      <w:r>
        <w:rPr>
          <w:rFonts w:hint="eastAsia" w:ascii="方正仿宋_GBK" w:hAnsi="方正仿宋_GBK"/>
          <w:snapToGrid w:val="0"/>
          <w:lang w:eastAsia="zh-CN"/>
        </w:rPr>
        <w:t>，</w:t>
      </w:r>
      <w:r>
        <w:rPr>
          <w:rFonts w:hint="eastAsia" w:ascii="方正仿宋_GBK" w:hAnsi="方正仿宋_GBK"/>
          <w:snapToGrid w:val="0"/>
        </w:rPr>
        <w:t>是否为内部公司等。</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12.固定资产卡片可以拆分和合并。由卡片自动生成固定资产增、减变动的台账。卡片可记录每个固定资产评估前后的变动情况及历史折旧情况。</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13.系统依据业务层面发起的购置、报废两项业务需要的发票、审批流程（附凭证及卡片需求信息）自动生成或减少上述固定资产卡片，并生成凭证。</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14.在建项目、技改技措项目的增加由经办人填列银行付款请领单、支出报销单以及相应的在建审批流程、技改流程、资产发票等附件，在系统中生成新的项目，由业务部门领导签字后推送财务入账，在财务系统中新增在建项目或者技改项目明细项目并记录生成项目台账，并生成凭证。</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15.固定资产内部交易发生时，卡片信息可由销售公司自动传递给受让公司，卡片信息可修改。</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16.固定资产卡片可以增加区域属性，并能够按照区域属性可筛选归集固定资产卡片信息。</w:t>
      </w:r>
    </w:p>
    <w:p>
      <w:pPr>
        <w:pStyle w:val="8"/>
        <w:kinsoku/>
        <w:wordWrap/>
        <w:topLinePunct w:val="0"/>
        <w:autoSpaceDE/>
        <w:autoSpaceDN/>
        <w:bidi w:val="0"/>
        <w:spacing w:before="198" w:after="198" w:line="560" w:lineRule="exact"/>
      </w:pPr>
      <w:r>
        <w:rPr>
          <w:rFonts w:hint="eastAsia"/>
        </w:rPr>
        <w:t>辅助管理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板块提供辅助核算功能，包括对部门、个人、客户、供应商和项目等辅助核算功能。</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板块提供各种辅助业务核算的查询分析功能。主要包括产品、专项核算、部门的余额表、二维余额表、三栏账、多栏账以及收入支出明细表。</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1.部门</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该功能支持部门余额表、部门三栏账、部门多栏账、部门收支明细账等账表的查询。</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2.个人</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该功能支持个人余额表、个人三栏账、个人多栏账等账表的查询。</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3.单位</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该功能支持个人余额表、个人三栏账、个人多栏账等账表的查询。</w:t>
      </w:r>
    </w:p>
    <w:p>
      <w:pPr>
        <w:pStyle w:val="8"/>
        <w:kinsoku/>
        <w:wordWrap/>
        <w:topLinePunct w:val="0"/>
        <w:autoSpaceDE/>
        <w:autoSpaceDN/>
        <w:bidi w:val="0"/>
        <w:spacing w:before="198" w:after="198" w:line="560" w:lineRule="exact"/>
      </w:pPr>
      <w:r>
        <w:rPr>
          <w:rFonts w:hint="eastAsia"/>
        </w:rPr>
        <w:t>现金流量</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系统实现现金流量表主附表自动生成功能并能够自动检测现金流量表的正确性、完整性。</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现金流量表生成后，系统需自动追踪现金流量表数据来源情况，能够实现现金流量表与</w:t>
      </w:r>
      <w:r>
        <w:rPr>
          <w:rFonts w:hint="eastAsia" w:ascii="方正仿宋_GBK" w:hAnsi="方正仿宋_GBK"/>
          <w:snapToGrid w:val="0"/>
          <w:lang w:eastAsia="zh-CN"/>
        </w:rPr>
        <w:t>账簿</w:t>
      </w:r>
      <w:r>
        <w:rPr>
          <w:rFonts w:hint="eastAsia" w:ascii="方正仿宋_GBK" w:hAnsi="方正仿宋_GBK"/>
          <w:snapToGrid w:val="0"/>
        </w:rPr>
        <w:t>、凭证之间的联查。</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系统需支持分析集团内部客商现金流量的收支情况，完成集团内部现金流量的分析和抵消，支持自定义现金流量表项目按树形级次展示，按业务种类细化管理。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现金流量报告来源分析：根据分部报告需要，可以针对现金流量项目、分析辅助核算来源和金额构成要素对现金流量进行分析。</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1.通过辅助核算中的专项核算实现</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在辅助核算的定义中，定义一个专项核算类别――现金流量，把现金流量表的现金流量项目设置为该专项类别的专项核算项目。在总账的核算关系定义中，把现金科目设定为进行“现金流量”专项核算，各单位在进行现金凭证处理的时候，就要及时确定该项现金流量的现金流量项目。在报表中定义现金流量表，并且定义报表公式为取现金流量专项核算项目的数据。</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2.通过现金流量表模块实现</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在项目定义中定义现金流量项目，并且定义项目对应的科目，在月末的时候进行现金流量项目的分析，最后生成现金流量表。</w:t>
      </w:r>
    </w:p>
    <w:p>
      <w:pPr>
        <w:pStyle w:val="7"/>
        <w:kinsoku/>
        <w:wordWrap/>
        <w:topLinePunct w:val="0"/>
        <w:autoSpaceDE/>
        <w:autoSpaceDN/>
        <w:bidi w:val="0"/>
        <w:spacing w:before="198" w:after="198" w:line="560" w:lineRule="exact"/>
        <w:rPr>
          <w:rFonts w:hint="default"/>
        </w:rPr>
      </w:pPr>
      <w:r>
        <w:t>资金管理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资金管理是企业财务管理的重要组成部分，也是企业管理的核心之一。随着公司规模的不断扩大，集团内资金处于分散状态，集团获取的现金流信息反馈滞后，既不利于公司资金的风险管控，也不利于进一步提高公司的整体资金利用效率。如何使资金的循环周转顺畅、迅速、安全，如何提高资金的使用效率、降低整个集团的财务费用，是公司领导以及财务工作者极为关注的问题。</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资金管理模块为单位提供了一个资金流入流出的平台，集中处理单位各种形态的资金，帮助其实现对日常业务引起的收付款项以及内部往来款项划拨的控制与管理，以达到规范单位的资金操作，降低费用成本、把好内部资金关口的目的。</w:t>
      </w:r>
    </w:p>
    <w:p>
      <w:pPr>
        <w:pStyle w:val="8"/>
        <w:kinsoku/>
        <w:wordWrap/>
        <w:topLinePunct w:val="0"/>
        <w:autoSpaceDE/>
        <w:autoSpaceDN/>
        <w:bidi w:val="0"/>
        <w:spacing w:before="198" w:after="198" w:line="560" w:lineRule="exact"/>
      </w:pPr>
      <w:r>
        <w:rPr>
          <w:rFonts w:hint="eastAsia"/>
        </w:rPr>
        <w:t>账户管理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账户管理用于处理银行账户的开户、销户全流程，支持开户（销户）单位申请集团审批、集团代办、以及单位自主管理模式；同时还可以处理内部账户的管理流程，用于资金组织对成员单位的内部账户进行管理，包括：内部账户开户业务、销户业务、冻结业务、解冻业务等。</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1.银行账号管理</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对监管企业的银行账户信息进行登记与管理。账户管理是资金集中管理的基础。账户是衡量成员单位在资金存量和流量的载体，也是进行资金监管的基础。账户管理是集团进行资金监管的最基本的工作之一，主要包括：账户类型及业务规则的定义，账户的编号规则，账户的开户，账户的冻结、监控及解冻，账户业务监督分析，账户的注销、利率调整等。</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在账户管理过程中，借鉴银行的管理模式，系统应提供账户开户申请、审批、账户启用、账户修改、账户冻结解决、账户封户解封、账户销户等功能。同时，为了支持各种资金业务的处理和未来业务的拓展，系统应对账户的关键基础信息都采用自定义的处理模式，如账户编号规则、账户性质、账户类型、账户的计息利率等。</w:t>
      </w:r>
    </w:p>
    <w:p>
      <w:pPr>
        <w:kinsoku/>
        <w:wordWrap/>
        <w:topLinePunct w:val="0"/>
        <w:autoSpaceDE/>
        <w:autoSpaceDN/>
        <w:bidi w:val="0"/>
        <w:spacing w:line="560" w:lineRule="exact"/>
        <w:ind w:firstLine="604"/>
        <w:rPr>
          <w:rFonts w:ascii="方正仿宋_GBK" w:hAnsi="方正仿宋_GBK"/>
        </w:rPr>
      </w:pPr>
      <w:r>
        <w:rPr>
          <w:rFonts w:ascii="方正仿宋_GBK" w:hAnsi="方正仿宋_GBK"/>
        </w:rPr>
        <w:t>2</w:t>
      </w:r>
      <w:r>
        <w:rPr>
          <w:rFonts w:hint="eastAsia" w:ascii="方正仿宋_GBK" w:hAnsi="方正仿宋_GBK"/>
        </w:rPr>
        <w:t>.银行账户查询</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为集团提供查看企业银行账户变动情况的功能，实现对企业资金账户的监管。</w:t>
      </w:r>
    </w:p>
    <w:p>
      <w:pPr>
        <w:kinsoku/>
        <w:wordWrap/>
        <w:topLinePunct w:val="0"/>
        <w:autoSpaceDE/>
        <w:autoSpaceDN/>
        <w:bidi w:val="0"/>
        <w:spacing w:line="560" w:lineRule="exact"/>
        <w:ind w:firstLine="604"/>
        <w:rPr>
          <w:rFonts w:ascii="方正仿宋_GBK" w:hAnsi="方正仿宋_GBK"/>
        </w:rPr>
      </w:pPr>
      <w:r>
        <w:rPr>
          <w:rFonts w:ascii="方正仿宋_GBK" w:hAnsi="方正仿宋_GBK"/>
        </w:rPr>
        <w:t>3</w:t>
      </w:r>
      <w:r>
        <w:rPr>
          <w:rFonts w:hint="eastAsia" w:ascii="方正仿宋_GBK" w:hAnsi="方正仿宋_GBK"/>
        </w:rPr>
        <w:t>.账户余额初始</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为企业提供初始银行账户余额的功能，企业需将每个银行账户的余额初始到系统。</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企业有资金管理系统，则通过接口推送账户余额数据；如果企业没有资金管理系统，则需进行余额初始。</w:t>
      </w:r>
    </w:p>
    <w:p>
      <w:pPr>
        <w:pStyle w:val="8"/>
        <w:kinsoku/>
        <w:wordWrap/>
        <w:topLinePunct w:val="0"/>
        <w:autoSpaceDE/>
        <w:autoSpaceDN/>
        <w:bidi w:val="0"/>
        <w:spacing w:before="198" w:after="198" w:line="560" w:lineRule="exact"/>
      </w:pPr>
      <w:r>
        <w:rPr>
          <w:rFonts w:hint="eastAsia"/>
        </w:rPr>
        <w:t>资金池管理</w:t>
      </w:r>
    </w:p>
    <w:p>
      <w:pPr>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建立资金池，实现成员单位在结算中心开立内部账户，由结算中心集中管理所有涉及结算、票据、信贷、计划等与资金相关的业务。通过结算中心与成员单位一整套灵活完善的账户关联体系，集中统一进行资金管理。以账户为中心，对集团内的各类资金业务从业务处理、业务控制、业务分析等多个角度进行流程化管理。业务处理的内容包括对外的资金收支、资金归集、资金划拨、内部转账、资金调度、存款办理、利息计算等；在资金业务的处理过程中，通过对账户的限额、透支以及与资金预算和资金计划的联动控制，加强资金业务的事前控制；对于业务的事后处理，强调数据分析，形成集团资金头寸、交易、资金构成等多角度的分析，以前面掌握整个集团的资金状况。</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1.资金收款归集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通过引入“银企直联”功能，应能自动将各单位对外的收款信息自动读入到系统中，结算中心业务人员只需要对单据的内容进行复核确认即可。</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2.资金上划</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资金收款后，应可以根据与银行约定的资金归集策略实现资金的自动归集。同时也支持通过系统进行手工上划归集。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在特殊情况下，也可以发起手工上划。</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3.资金下拨</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通过资金下拨及下拨规则设置，应满足企业自动下拨及手工下拨需求。满足上级单位对所属下级单位使用的银行账户发起资金下拨操作功能。通过和银行配合实现集中支付、零余额透支支付、下拨支付、备用金账户等多种资金管理模式。</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4.资金调度</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资金调度主要应解决资金中心内两个总账户之间的资金拨付。既可以处理同一个资金中心内两个总账户间的资金拨付，也可以实现跨资金中心的两个总账户间的资金拨付。通过系统资金调拨功能实现企业内各账户之间的活期或者定期（通知）资金调拨，满足日常资金调度、专项资金调度需要。</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5.集中结算联动支付</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流程基本为成员单位发起付款申请或从报账、合同、ERP等异构系统引入付款信息，资金中心业务人员确定付款银行、付款账户，并在确保资金计划可用、头寸充足的情况下，将指令发送银行，并根据银行的反馈结果进行核销确认。</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6.企业自主支付</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针对企业自行支付的业务，企业应可以发起企业付款，通过自身的银行账户或备用金户，自己完成资金支付。此类付款业务的资金不需要从上级总账户进行资金拨付，与银行之间的交互过程与集中支付的过程类似。</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7.内部结算</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内部转账是内部两个成员单位间如果有资金往来，应可以直接通过资金中心内部的两个内部账户做结算，而不需要再通过外部银行做结算，这样避免了对银行资金头寸的占用，也避免了手续费和未达账项。</w:t>
      </w:r>
    </w:p>
    <w:p>
      <w:pPr>
        <w:pStyle w:val="8"/>
        <w:kinsoku/>
        <w:wordWrap/>
        <w:topLinePunct w:val="0"/>
        <w:autoSpaceDE/>
        <w:autoSpaceDN/>
        <w:bidi w:val="0"/>
        <w:spacing w:before="198" w:after="198" w:line="560" w:lineRule="exact"/>
      </w:pPr>
      <w:r>
        <w:rPr>
          <w:rFonts w:hint="eastAsia"/>
        </w:rPr>
        <w:t>资金管理</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资金管理通过实时采集下属企业的收支明细和银行账户余额，对资金数据进行整合分析，为集团对企业的资金实时监控提供手段，为各级管理者的经营决策提供依据。资金监控应实现动态监测数据的真实性和完整性，达到资金实时在线监管，有效防范违规支付。</w:t>
      </w:r>
    </w:p>
    <w:p>
      <w:pPr>
        <w:kinsoku/>
        <w:wordWrap/>
        <w:topLinePunct w:val="0"/>
        <w:autoSpaceDE/>
        <w:autoSpaceDN/>
        <w:bidi w:val="0"/>
        <w:spacing w:line="560" w:lineRule="exact"/>
        <w:ind w:firstLine="604"/>
        <w:rPr>
          <w:rFonts w:ascii="方正仿宋_GBK" w:hAnsi="方正仿宋_GBK"/>
        </w:rPr>
      </w:pPr>
      <w:r>
        <w:rPr>
          <w:rFonts w:ascii="方正仿宋_GBK" w:hAnsi="方正仿宋_GBK"/>
        </w:rPr>
        <w:t>1</w:t>
      </w:r>
      <w:r>
        <w:rPr>
          <w:rFonts w:hint="eastAsia" w:ascii="方正仿宋_GBK" w:hAnsi="方正仿宋_GBK"/>
        </w:rPr>
        <w:t>.企业余额查询</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为集团提供查看企业余额变动情况的功能，集团可随时查看企业当前余额。</w:t>
      </w:r>
    </w:p>
    <w:p>
      <w:pPr>
        <w:kinsoku/>
        <w:wordWrap/>
        <w:topLinePunct w:val="0"/>
        <w:autoSpaceDE/>
        <w:autoSpaceDN/>
        <w:bidi w:val="0"/>
        <w:spacing w:line="560" w:lineRule="exact"/>
        <w:ind w:firstLine="604"/>
        <w:rPr>
          <w:rFonts w:ascii="方正仿宋_GBK" w:hAnsi="方正仿宋_GBK"/>
        </w:rPr>
      </w:pPr>
      <w:r>
        <w:rPr>
          <w:rFonts w:ascii="方正仿宋_GBK" w:hAnsi="方正仿宋_GBK"/>
        </w:rPr>
        <w:t>2</w:t>
      </w:r>
      <w:r>
        <w:rPr>
          <w:rFonts w:hint="eastAsia" w:ascii="方正仿宋_GBK" w:hAnsi="方正仿宋_GBK"/>
        </w:rPr>
        <w:t>.收支明细查询</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为集团提供查看企业收支情况的功能，实时监控企业资金流入、资金流出情况。</w:t>
      </w:r>
    </w:p>
    <w:p>
      <w:pPr>
        <w:kinsoku/>
        <w:wordWrap/>
        <w:topLinePunct w:val="0"/>
        <w:autoSpaceDE/>
        <w:autoSpaceDN/>
        <w:bidi w:val="0"/>
        <w:spacing w:line="560" w:lineRule="exact"/>
        <w:ind w:firstLine="604"/>
        <w:rPr>
          <w:rFonts w:ascii="方正仿宋_GBK" w:hAnsi="方正仿宋_GBK"/>
        </w:rPr>
      </w:pPr>
      <w:r>
        <w:rPr>
          <w:rFonts w:ascii="方正仿宋_GBK" w:hAnsi="方正仿宋_GBK"/>
        </w:rPr>
        <w:t>3</w:t>
      </w:r>
      <w:r>
        <w:rPr>
          <w:rFonts w:hint="eastAsia" w:ascii="方正仿宋_GBK" w:hAnsi="方正仿宋_GBK"/>
        </w:rPr>
        <w:t>.资金监控分析</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为集团提供资金分析功能。资金分析支持实时分析企业的资金整体情况，实时监控企业资金管理的重要指标，监控资金运转情况，实时掌握资金流入、资金流出趋势，防止资金债务风险的发生。</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4.预警规则设置</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为集团提供资金监控预警规则设置的功能，预警规则包括资金支出预警、资金存量预警</w:t>
      </w:r>
      <w:r>
        <w:rPr>
          <w:rFonts w:hint="eastAsia" w:ascii="方正仿宋_GBK" w:hAnsi="方正仿宋_GBK"/>
          <w:lang w:eastAsia="zh-CN"/>
        </w:rPr>
        <w:t>或</w:t>
      </w:r>
      <w:r>
        <w:rPr>
          <w:rFonts w:hint="eastAsia" w:ascii="方正仿宋_GBK" w:hAnsi="方正仿宋_GBK"/>
        </w:rPr>
        <w:t>有负债预警。</w:t>
      </w:r>
    </w:p>
    <w:p>
      <w:pPr>
        <w:kinsoku/>
        <w:wordWrap/>
        <w:topLinePunct w:val="0"/>
        <w:autoSpaceDE/>
        <w:autoSpaceDN/>
        <w:bidi w:val="0"/>
        <w:spacing w:line="560" w:lineRule="exact"/>
        <w:ind w:firstLine="604"/>
        <w:rPr>
          <w:rFonts w:ascii="方正仿宋_GBK" w:hAnsi="方正仿宋_GBK"/>
        </w:rPr>
      </w:pPr>
      <w:r>
        <w:rPr>
          <w:rFonts w:ascii="方正仿宋_GBK" w:hAnsi="方正仿宋_GBK"/>
        </w:rPr>
        <w:t>5</w:t>
      </w:r>
      <w:r>
        <w:rPr>
          <w:rFonts w:hint="eastAsia" w:ascii="方正仿宋_GBK" w:hAnsi="方正仿宋_GBK"/>
        </w:rPr>
        <w:t>.资金风险预警</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为集团提供资金监控预警功能，根据设置的预警规则，对企业资金进行</w:t>
      </w:r>
      <w:r>
        <w:rPr>
          <w:rFonts w:hint="eastAsia" w:ascii="方正仿宋_GBK" w:hAnsi="方正仿宋_GBK"/>
          <w:lang w:eastAsia="zh-CN"/>
        </w:rPr>
        <w:t>实时</w:t>
      </w:r>
      <w:r>
        <w:rPr>
          <w:rFonts w:hint="eastAsia" w:ascii="方正仿宋_GBK" w:hAnsi="方正仿宋_GBK"/>
        </w:rPr>
        <w:t>监控，一旦触动预警规则，则进行资金风险预警。</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lang w:val="en-US" w:eastAsia="zh-CN"/>
        </w:rPr>
        <w:t>6</w:t>
      </w:r>
      <w:r>
        <w:rPr>
          <w:rFonts w:ascii="方正仿宋_GBK" w:hAnsi="方正仿宋_GBK"/>
        </w:rPr>
        <w:t>.</w:t>
      </w:r>
      <w:r>
        <w:rPr>
          <w:rFonts w:hint="eastAsia" w:ascii="方正仿宋_GBK" w:hAnsi="方正仿宋_GBK"/>
        </w:rPr>
        <w:t>现金管理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现金管理除了用于单位的独立结算外，同时也是集团公司资金管理的重要组成部分，与资金管理的其他产品共同构建了集团公司资金流入、流出</w:t>
      </w:r>
      <w:r>
        <w:rPr>
          <w:rFonts w:hint="eastAsia" w:ascii="方正仿宋_GBK" w:hAnsi="方正仿宋_GBK"/>
          <w:snapToGrid w:val="0"/>
          <w:lang w:eastAsia="zh-CN"/>
        </w:rPr>
        <w:t>及</w:t>
      </w:r>
      <w:r>
        <w:rPr>
          <w:rFonts w:hint="eastAsia" w:ascii="方正仿宋_GBK" w:hAnsi="方正仿宋_GBK"/>
          <w:snapToGrid w:val="0"/>
        </w:rPr>
        <w:t>内部划转的平台，从不同的角度提供了对集团公司资金的核算和管理功能。包括公司的对外收付款、划账、结汇购汇、银行到账通知、银行对账、空白票据、期末关账结账、账户汇兑损益结转等业务。</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实现现金与总账自动对账、总账与银行自动对账，自动出具银行余额调节表等。</w:t>
      </w:r>
    </w:p>
    <w:p>
      <w:pPr>
        <w:pStyle w:val="8"/>
        <w:kinsoku/>
        <w:wordWrap/>
        <w:topLinePunct w:val="0"/>
        <w:autoSpaceDE/>
        <w:autoSpaceDN/>
        <w:bidi w:val="0"/>
        <w:spacing w:before="198" w:after="198" w:line="560" w:lineRule="exact"/>
      </w:pPr>
      <w:r>
        <w:rPr>
          <w:rFonts w:hint="eastAsia"/>
        </w:rPr>
        <w:t>票据管理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票据管理模块支持多种票据管理模式，如实物票的电子信息集中、银行托管模式、电子票据池等模式；支持票据基础业务的办理及电票的异常处理，并提供各类票据业务的查询等。以此实现集团票据资源的价值最大化。</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1.应收票据管理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单位收款收到票据后，应首先登记票据的要素信息，之后票据的状态变为登记在途，后会在验票入库功能中出现。</w:t>
      </w:r>
    </w:p>
    <w:p>
      <w:pPr>
        <w:numPr>
          <w:ilvl w:val="0"/>
          <w:numId w:val="46"/>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应收票据确认入库</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针对网上登记的应收票据，应由业务人员进行实物票、电子信息进行确认入库。</w:t>
      </w:r>
    </w:p>
    <w:p>
      <w:pPr>
        <w:numPr>
          <w:ilvl w:val="0"/>
          <w:numId w:val="46"/>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应收票据背书</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成员单位在用款支付时，除了银行转账外，也应可以采用库存票据进行票据背书支付。背书时，由用票单位进行票据背书申请，经过审批后进行票据背书流转。票据背书支持内部背书和外部背书。</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票据背书的业务功能需求实现：选择将要背书的票，进行背书处理；背书后，根据背书的类型，确认记账后，票据持有人进行了变更。</w:t>
      </w:r>
    </w:p>
    <w:p>
      <w:pPr>
        <w:numPr>
          <w:ilvl w:val="0"/>
          <w:numId w:val="46"/>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应收票据贴现</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当票据持有人在票据未到期时，如果资金紧张，可以选择将持有的未到期票进行票据贴现，解决资金头寸需求。</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贴现的功能需求实现：各用款单位在库存中，选择合适的票进行票据贴现。</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在贴现申请审批通过后，进行贴现处理，包括贴现率，并自动计算贴现息；同时系统这次对贴现息的多种处理方式。</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贴现处理完成后，进行业务确认入账。</w:t>
      </w:r>
    </w:p>
    <w:p>
      <w:pPr>
        <w:numPr>
          <w:ilvl w:val="0"/>
          <w:numId w:val="46"/>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应收票据托收</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票据快到期时，需要提前到银行办理托收业务，业务人员打印托收单，送票到银行办理托收业务，托收到账后增加银行的头寸。业务托收到账后，根据到账记录进行核销。</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2.应付票据管理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应付票据应可进行应付票据的开票申请、审批、开票、到期兑付等业务的管理。</w:t>
      </w:r>
    </w:p>
    <w:p>
      <w:pPr>
        <w:numPr>
          <w:ilvl w:val="0"/>
          <w:numId w:val="47"/>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应付票据开票申请</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当企业需要开具应付票据时，应可由用票单位在线提交用票申请，经审批后，进行具体的开票处理。在开票申请时，系统支持正常开票据和大额应收票据的拆票开票。也支持批量开票。</w:t>
      </w:r>
    </w:p>
    <w:p>
      <w:pPr>
        <w:numPr>
          <w:ilvl w:val="0"/>
          <w:numId w:val="47"/>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应付票据开票处理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审批通过的开票申请业务，应由资金中心业务岗进行票据处理。包括票据的具体信息、保证金、与授信的关联等，也支持电子票据的开票。</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同时支持开票过程中各种费用的登记和记录。</w:t>
      </w:r>
    </w:p>
    <w:p>
      <w:pPr>
        <w:numPr>
          <w:ilvl w:val="0"/>
          <w:numId w:val="47"/>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应付票据到期兑付</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应付票据到期后，开票单位进行票据兑付的申请，并备付资金进行票据兑付。</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票据到期兑付并确认记账后，会进行释放授信占用并更新票据状态操作。</w:t>
      </w:r>
    </w:p>
    <w:p>
      <w:pPr>
        <w:pStyle w:val="8"/>
        <w:kinsoku/>
        <w:wordWrap/>
        <w:topLinePunct w:val="0"/>
        <w:autoSpaceDE/>
        <w:autoSpaceDN/>
        <w:bidi w:val="0"/>
        <w:spacing w:before="198" w:after="198" w:line="560" w:lineRule="exact"/>
      </w:pPr>
      <w:r>
        <w:rPr>
          <w:rFonts w:hint="eastAsia"/>
        </w:rPr>
        <w:t>银企直联</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集团进行资金集中管理之后，集团资金中心就代替了成员单位原来银行的角色，下属各成员单位的资金都是存放在集团资金中心，收支业务、利息计算、存款办理等业务都是通过资金中心来办理，而不是直接到银行办理，这样集团资金中心的服务压力就会大增，如果还是采用原来通过人工的方式到银行柜台来办理各种业务，在效率上就无法满足成员单位的业务需求，必须通过一定的方式来解决资金中心的资金结算效率。正是基于此，使用银企直联平台，希望实现集团资金中心与银行交易系统的远程直联，从而实现资金业务数据的网上传递和交易，提高集团资金中心的结算效率，保障资金中心的服务职能。</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系统通过平台化的银行直连平台实现与外部多家银行的实时交互，建立起安全、稳定、高效的网络化结算体系，实现与外部多家银行的直连。</w:t>
      </w:r>
    </w:p>
    <w:p>
      <w:pPr>
        <w:pStyle w:val="8"/>
        <w:kinsoku/>
        <w:wordWrap/>
        <w:topLinePunct w:val="0"/>
        <w:autoSpaceDE/>
        <w:autoSpaceDN/>
        <w:bidi w:val="0"/>
        <w:spacing w:before="198" w:after="198" w:line="560" w:lineRule="exact"/>
      </w:pPr>
      <w:r>
        <w:rPr>
          <w:rFonts w:hint="eastAsia"/>
        </w:rPr>
        <w:t>资金结算</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资金结算管理的是资金组织的日常工作，为资金管理、分析、预测提供必要的数据和资料。主要业务处理内容为：委托结算业务、内部转账业务、内部特转业务、现金业务、业务查询、业务回单等。针对企业自行支付的业务，企业可以发起企业收付款，通过自身的银行账户或备用金户，自己完成资金收支业务。</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1.基础配置</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该功能支持付款接口的配置、网银付款格式的定义、自动支付规则的设置、单据默认值的设置、虚拟子账户的管理。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2.收款业务</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通过引入</w:t>
      </w:r>
      <w:r>
        <w:rPr>
          <w:rFonts w:hint="eastAsia" w:ascii="方正仿宋_GBK" w:hAnsi="方正仿宋_GBK"/>
          <w:snapToGrid w:val="0"/>
          <w:lang w:eastAsia="zh-CN"/>
        </w:rPr>
        <w:t>“</w:t>
      </w:r>
      <w:r>
        <w:rPr>
          <w:rFonts w:hint="eastAsia" w:ascii="方正仿宋_GBK" w:hAnsi="方正仿宋_GBK"/>
          <w:snapToGrid w:val="0"/>
        </w:rPr>
        <w:t>银企直联</w:t>
      </w:r>
      <w:r>
        <w:rPr>
          <w:rFonts w:hint="eastAsia" w:ascii="方正仿宋_GBK" w:hAnsi="方正仿宋_GBK"/>
          <w:snapToGrid w:val="0"/>
          <w:lang w:eastAsia="zh-CN"/>
        </w:rPr>
        <w:t>”</w:t>
      </w:r>
      <w:r>
        <w:rPr>
          <w:rFonts w:hint="eastAsia" w:ascii="方正仿宋_GBK" w:hAnsi="方正仿宋_GBK"/>
          <w:snapToGrid w:val="0"/>
        </w:rPr>
        <w:t>功能，自动将各单位对外的收款信息自动读入到系统中，结算中心业务人员只需要对单据的内容进行复核确认即可。</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3.付款业务</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应功能支持提供给无前端业务系统（合同、应付等）的业务人员使用，用于发起业务付款申请，也可接收其他系统推送过来的付款信息，生成资金的业务支付申请单。</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4.查询</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该功能支持提供业务收款、付款认领单的统一查询。</w:t>
      </w:r>
    </w:p>
    <w:p>
      <w:pPr>
        <w:pStyle w:val="8"/>
        <w:kinsoku/>
        <w:wordWrap/>
        <w:topLinePunct w:val="0"/>
        <w:autoSpaceDE/>
        <w:autoSpaceDN/>
        <w:bidi w:val="0"/>
        <w:spacing w:before="198" w:after="198" w:line="560" w:lineRule="exact"/>
      </w:pPr>
      <w:r>
        <w:rPr>
          <w:rFonts w:hint="eastAsia"/>
        </w:rPr>
        <w:t>资金计划管理</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资金计划管理模块支持资金计划的编制、审批、控制和分析，以实现资金头寸的有效控制。支持对资金计划进行查询、分析与预测，以掌握各结算单位的资金情况和占用额度，预测未来资金头寸，为企业筹措资金提供依据。</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1.资金计划组织定义</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由集团公司统一定义相应的资金计划组织。资金计划组织可以与核算组织不同。</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2.资金计划编报周期定义</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系统支持对资金计划编报的周期定义。</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3.计划汇总关系定义</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资金计划除了可以根据组织关系进行汇总外，还可以自定义汇总关系，如按照区域、行业等管理口径。</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4.资金计划的明细维度定义</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资金预算侧重于预算项目一个周期的总数，如季度、月度表，预算数据是预算项目的汇总数。而资金计划则可以在资金预算的基础上，进行预算数据的明细化管理。如工程投资项目，需要明细到哪个项目、哪个合同、对应的供应商等详细信息。</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资金计划明细维度定义，就是定义编报资金计划时，需要编报的明细维度。即</w:t>
      </w:r>
      <w:r>
        <w:rPr>
          <w:rFonts w:hint="eastAsia" w:ascii="方正仿宋_GBK" w:hAnsi="方正仿宋_GBK"/>
          <w:lang w:eastAsia="zh-CN"/>
        </w:rPr>
        <w:t>有</w:t>
      </w:r>
      <w:r>
        <w:rPr>
          <w:rFonts w:hint="eastAsia" w:ascii="方正仿宋_GBK" w:hAnsi="方正仿宋_GBK"/>
        </w:rPr>
        <w:t>哪些列，这些列的名称都可以自定义。</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5.业务控制定义与控制</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各类资金业务单据应受资金预算与计划控制的方式，包括单据的申请，审批，执行三个阶段的“不控制”，“提示”，“禁止”三种控制方式。</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在办理具体业务时，可以根据定义的控制方式，进行业务提醒或控制。</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6.资金计划的编报</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资金计划编报支持多种编报方式如滚动预算、零基预算等。</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7.资金计划的汇总审批</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应根据定义的汇总关系进行预算的汇总、审批。</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8.明细资金计划的编报</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依据定义的明细项目和维度，进行明细计划的填报；在填报的过程中，系统应既支持手工编报也支持根据异构系统，如报账系统、合同管理、项目管理等系统引入相关的业务数据，形成明细计划。</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9.资金计划的调整</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针对审批通过的预算与计划，系统支持对预算和计划的调整，同时并对调整的过程进行记录。</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10.资金计划的汇总穿透查询</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根据组织汇总关系，应由集团汇总表多单位预算表，然后再由单位表查询到其中的明细计划表。</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11.资金计划的执行分析</w:t>
      </w:r>
    </w:p>
    <w:p>
      <w:pPr>
        <w:kinsoku/>
        <w:wordWrap/>
        <w:topLinePunct w:val="0"/>
        <w:autoSpaceDE/>
        <w:autoSpaceDN/>
        <w:bidi w:val="0"/>
        <w:spacing w:line="560" w:lineRule="exact"/>
        <w:ind w:firstLine="604"/>
        <w:rPr>
          <w:rFonts w:hint="eastAsia" w:ascii="方正仿宋_GBK" w:hAnsi="方正仿宋_GBK"/>
        </w:rPr>
      </w:pPr>
      <w:r>
        <w:rPr>
          <w:rFonts w:hint="eastAsia" w:ascii="方正仿宋_GBK" w:hAnsi="方正仿宋_GBK"/>
        </w:rPr>
        <w:t>通过执行预算分析，应可实时查询资金计划差异。</w:t>
      </w:r>
    </w:p>
    <w:p>
      <w:pPr>
        <w:pStyle w:val="8"/>
        <w:kinsoku/>
        <w:wordWrap/>
        <w:topLinePunct w:val="0"/>
        <w:autoSpaceDE/>
        <w:autoSpaceDN/>
        <w:bidi w:val="0"/>
        <w:spacing w:line="560" w:lineRule="exact"/>
      </w:pPr>
      <w:r>
        <w:rPr>
          <w:rFonts w:hint="eastAsia"/>
          <w:lang w:val="en-US" w:eastAsia="zh-CN"/>
        </w:rPr>
        <w:t>大额资金管理</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大额资金动态监管通过实时采集下属企业的收支明细和银行账户余额，对资金数据进行整合分析，为集团对企业的资金实时监控提供手段，为各级管理者的经营决策提供依据。资金监控应实现动态监测数据的真实性和完整性，达到资金实时在线监管，有效防范违规支付。</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1.银行账号管理</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对监管企业的银行账户信息进行登记与管理。账户管理是资金集中管理的基础。账户是衡量成员单位在资金存量和流量的载体，也是进行资金监管的基础。账户管理是集团进行资金监管的最基本的工作之一，主要包括：账户类型及业务规则的定义，账户的编号规则，账户的开户，账户的冻结、监控及解冻，账户业务监督分析，账户的注销、利率调整等。</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在账户管理过程中，借鉴银行的管理模式，系统应提供账户开户申请、审批、账户启用、账户修改、账户冻结解决、账户封户解封、账户销户等功能。同时，为了支持各种资金业务的处理和未来业务的拓展，系统应对账户的关键基础信息都采用自定义的处理模式，如账户编号规则、账户性质、账户类型、账户的计息利率等。</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2.账户余额初始</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为企业提供初始银行账户余额的功能，企业需将每个银行账户的余额初始到系统。</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企业有资金管理系统，则通过接口推送账户余额数据；如果企业没有资金管理系统，则需进行余额初始。</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3.大额资金支出额度设置</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为企业提供设置大额资金支出额度的功能，系统根据各企业设置的大额资金支出额度自动抽取大额资金支出数据。</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大额资金支出是集团重点监管事项，各企业按照集团的要求以及企业管理的制度，设置大额资金额度。企业设置好大额资金支出额度之后，由集团审批之后才生效，审批流程按照集团的监管要求和企业自身的管理进行设置。若企业额度发生变化则进行额度变更，额度变更经审批之后才会生效。</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4.预警规则设置</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为集团提供资金监控预警规则设置的功能，预警规则包括资金支出预警、资金存量预警</w:t>
      </w:r>
      <w:r>
        <w:rPr>
          <w:rFonts w:hint="eastAsia" w:ascii="方正仿宋_GBK" w:hAnsi="方正仿宋_GBK"/>
          <w:lang w:eastAsia="zh-CN"/>
        </w:rPr>
        <w:t>或</w:t>
      </w:r>
      <w:r>
        <w:rPr>
          <w:rFonts w:hint="eastAsia" w:ascii="方正仿宋_GBK" w:hAnsi="方正仿宋_GBK"/>
        </w:rPr>
        <w:t>有负债预警。</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5.银行账户查询</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为集团提供查看企业银行账户变动情况的功能，实现对企业资金账户的监管。</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6.大额资金支出查询</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为集团提供查看企业大额资金支出数据的功能。集团可随时查看各企业大额资金支出笔数、金额，以及每条大额资金支出明细数据。</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根据企业设置的大额资金额度，从交易明细中抽取大额资金支出数据，形成大额资金支出明细表并可导出。大额资金使用包括对外投资、银行贷款、股利分配、大额采购、固定资产购置、对外捐赠、赞助和对外实施并购重组、产权交易等活动中一次性投入或支付资金金额较大的经济行为。</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7.收支明细查询</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为集团提供查看企业收支情况的功能，实时监控企业资金流入、资金流出情况。</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8.企业余额查询</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为集团提供查看企业余额变动情况的功能，集团可随时查看企业当前余额。</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9.资金监控分析</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为集团提供资金分析功能。资金分析支持实时分析企业的资金整体情况，实时监控企业资金管理的重要指标，监控资金运转情况，实时掌握资金流入、资金流出趋势，防止资金债务风险的发生。</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10.资金风险预警</w:t>
      </w:r>
    </w:p>
    <w:p>
      <w:pPr>
        <w:pStyle w:val="2"/>
        <w:kinsoku/>
        <w:wordWrap/>
        <w:topLinePunct w:val="0"/>
        <w:autoSpaceDE/>
        <w:autoSpaceDN/>
        <w:bidi w:val="0"/>
        <w:spacing w:line="560" w:lineRule="exact"/>
      </w:pPr>
      <w:r>
        <w:rPr>
          <w:rFonts w:hint="eastAsia" w:ascii="方正仿宋_GBK" w:hAnsi="方正仿宋_GBK"/>
        </w:rPr>
        <w:t>为集团提供资金监控预警功能，根据设置的预警规则，对企业资金进行</w:t>
      </w:r>
      <w:r>
        <w:rPr>
          <w:rFonts w:hint="eastAsia" w:ascii="方正仿宋_GBK" w:hAnsi="方正仿宋_GBK"/>
          <w:lang w:eastAsia="zh-CN"/>
        </w:rPr>
        <w:t>实时</w:t>
      </w:r>
      <w:r>
        <w:rPr>
          <w:rFonts w:hint="eastAsia" w:ascii="方正仿宋_GBK" w:hAnsi="方正仿宋_GBK"/>
        </w:rPr>
        <w:t>监控，一旦触动预警规则，则进行资金风险预警。</w:t>
      </w:r>
    </w:p>
    <w:p>
      <w:pPr>
        <w:pStyle w:val="7"/>
        <w:kinsoku/>
        <w:wordWrap/>
        <w:topLinePunct w:val="0"/>
        <w:autoSpaceDE/>
        <w:autoSpaceDN/>
        <w:bidi w:val="0"/>
        <w:spacing w:before="198" w:after="198" w:line="560" w:lineRule="exact"/>
        <w:rPr>
          <w:rFonts w:hint="default"/>
        </w:rPr>
      </w:pPr>
      <w:r>
        <w:t>税务管理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税务管理是为税务会计服务的，是进行税务筹划、税金核算和纳税申报的一种会计系统。它是财务会计与管理会计的自然延伸，是对以投资人为导向的财务会计按税法法律制度进行核算调整，形成税务账簿以及纳税申报表，并按税法规定缴纳税款的一种管理活动。</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搭建集团税务管控系统，通过前端打通业务系统，可以自动获取税基数据，实现准确算税，一点出报，支撑纳税申报。后端与税控系统对接，实现销项发票的开具及进项发票的自动化认证，并且可与电子影像系统集成，通过二维码扫描、ORC识别，极大提高发票登记效率。通过打通业务、税务、核算之间的壁垒，形成税务管控系统闭环，实现企业财务税务业务一体化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通过税务管控系统充分规范了企业税务管理流程，全面支撑企业全过程税务管理，帮助企业建立税务风险控制体系，管控税务风险，实现合法、</w:t>
      </w:r>
      <w:r>
        <w:rPr>
          <w:rFonts w:hint="eastAsia" w:ascii="方正仿宋_GBK" w:hAnsi="方正仿宋_GBK"/>
          <w:snapToGrid w:val="0"/>
          <w:lang w:eastAsia="zh-CN"/>
        </w:rPr>
        <w:t>准确地纳税</w:t>
      </w:r>
      <w:r>
        <w:rPr>
          <w:rFonts w:hint="eastAsia" w:ascii="方正仿宋_GBK" w:hAnsi="方正仿宋_GBK"/>
          <w:snapToGrid w:val="0"/>
        </w:rPr>
        <w:t>，并在此基础上实现税务集中管控，帮助企业有效进行税务筹划。</w:t>
      </w:r>
    </w:p>
    <w:p>
      <w:pPr>
        <w:numPr>
          <w:ilvl w:val="0"/>
          <w:numId w:val="48"/>
        </w:numPr>
        <w:kinsoku/>
        <w:wordWrap/>
        <w:topLinePunct w:val="0"/>
        <w:autoSpaceDE/>
        <w:autoSpaceDN/>
        <w:bidi w:val="0"/>
        <w:spacing w:line="560" w:lineRule="exact"/>
        <w:ind w:left="0" w:firstLine="604"/>
        <w:jc w:val="both"/>
        <w:rPr>
          <w:rFonts w:ascii="方正仿宋_GBK" w:hAnsi="方正仿宋_GBK"/>
          <w:snapToGrid w:val="0"/>
        </w:rPr>
      </w:pPr>
      <w:r>
        <w:rPr>
          <w:rFonts w:hint="eastAsia" w:ascii="方正仿宋_GBK" w:hAnsi="方正仿宋_GBK"/>
          <w:snapToGrid w:val="0"/>
        </w:rPr>
        <w:t>支持对不同税种的日常税务核算</w:t>
      </w:r>
      <w:r>
        <w:rPr>
          <w:rFonts w:hint="eastAsia" w:ascii="方正仿宋_GBK" w:hAnsi="方正仿宋_GBK"/>
          <w:snapToGrid w:val="0"/>
          <w:lang w:eastAsia="zh-CN"/>
        </w:rPr>
        <w:t>，</w:t>
      </w:r>
      <w:r>
        <w:rPr>
          <w:rFonts w:hint="eastAsia" w:ascii="方正仿宋_GBK" w:hAnsi="方正仿宋_GBK"/>
          <w:snapToGrid w:val="0"/>
        </w:rPr>
        <w:t>支持设置不同税种不同的差异调整项目，用于区别记录差异调整凭证；支持按税收政策对总账凭证进行调整，形成差异调整凭证。</w:t>
      </w:r>
    </w:p>
    <w:p>
      <w:pPr>
        <w:numPr>
          <w:ilvl w:val="0"/>
          <w:numId w:val="48"/>
        </w:numPr>
        <w:kinsoku/>
        <w:wordWrap/>
        <w:topLinePunct w:val="0"/>
        <w:autoSpaceDE/>
        <w:autoSpaceDN/>
        <w:bidi w:val="0"/>
        <w:spacing w:line="560" w:lineRule="exact"/>
        <w:ind w:left="0" w:firstLine="604"/>
        <w:jc w:val="both"/>
        <w:rPr>
          <w:rFonts w:ascii="方正仿宋_GBK" w:hAnsi="方正仿宋_GBK"/>
          <w:snapToGrid w:val="0"/>
        </w:rPr>
      </w:pPr>
      <w:r>
        <w:rPr>
          <w:rFonts w:hint="eastAsia" w:ascii="方正仿宋_GBK" w:hAnsi="方正仿宋_GBK"/>
          <w:snapToGrid w:val="0"/>
        </w:rPr>
        <w:t>支持自动生成差异凭证</w:t>
      </w:r>
      <w:r>
        <w:rPr>
          <w:rFonts w:hint="eastAsia" w:ascii="方正仿宋_GBK" w:hAnsi="方正仿宋_GBK"/>
          <w:snapToGrid w:val="0"/>
          <w:lang w:eastAsia="zh-CN"/>
        </w:rPr>
        <w:t>，</w:t>
      </w:r>
      <w:r>
        <w:rPr>
          <w:rFonts w:hint="eastAsia" w:ascii="方正仿宋_GBK" w:hAnsi="方正仿宋_GBK"/>
          <w:snapToGrid w:val="0"/>
        </w:rPr>
        <w:t>支持使用直接调整规则，自动生成差异凭证；支持使用按扣除标准调整规则，自动生成差异凭证；支持使用广告费调整规则，自动生成差异凭证</w:t>
      </w:r>
      <w:r>
        <w:rPr>
          <w:rFonts w:hint="eastAsia" w:ascii="方正仿宋_GBK" w:hAnsi="方正仿宋_GBK"/>
          <w:snapToGrid w:val="0"/>
          <w:lang w:eastAsia="zh-CN"/>
        </w:rPr>
        <w:t>；</w:t>
      </w:r>
      <w:r>
        <w:rPr>
          <w:rFonts w:hint="eastAsia" w:ascii="方正仿宋_GBK" w:hAnsi="方正仿宋_GBK"/>
          <w:snapToGrid w:val="0"/>
        </w:rPr>
        <w:t>支持记录广告费调整明细，形成广告费辅助账</w:t>
      </w:r>
      <w:r>
        <w:rPr>
          <w:rFonts w:hint="eastAsia" w:ascii="方正仿宋_GBK" w:hAnsi="方正仿宋_GBK"/>
          <w:snapToGrid w:val="0"/>
          <w:lang w:eastAsia="zh-CN"/>
        </w:rPr>
        <w:t>；</w:t>
      </w:r>
      <w:r>
        <w:rPr>
          <w:rFonts w:hint="eastAsia" w:ascii="方正仿宋_GBK" w:hAnsi="方正仿宋_GBK"/>
          <w:snapToGrid w:val="0"/>
        </w:rPr>
        <w:t>支持通过固定资产系统，自动生成与固定资产相关的差异凭证。</w:t>
      </w:r>
    </w:p>
    <w:p>
      <w:pPr>
        <w:numPr>
          <w:ilvl w:val="0"/>
          <w:numId w:val="48"/>
        </w:numPr>
        <w:kinsoku/>
        <w:wordWrap/>
        <w:topLinePunct w:val="0"/>
        <w:autoSpaceDE/>
        <w:autoSpaceDN/>
        <w:bidi w:val="0"/>
        <w:spacing w:line="560" w:lineRule="exact"/>
        <w:ind w:left="0" w:firstLine="604"/>
        <w:jc w:val="both"/>
        <w:rPr>
          <w:rFonts w:ascii="方正仿宋_GBK" w:hAnsi="方正仿宋_GBK"/>
          <w:snapToGrid w:val="0"/>
        </w:rPr>
      </w:pPr>
      <w:r>
        <w:rPr>
          <w:rFonts w:hint="eastAsia" w:ascii="方正仿宋_GBK" w:hAnsi="方正仿宋_GBK"/>
          <w:snapToGrid w:val="0"/>
        </w:rPr>
        <w:t>支持企业所得税多种纳税申报方式；支持总部统一缴纳企业所得税的情况，通过税款计提规则直接生成计提的税款，总部统一调整核算、分子公司分别预缴的情况，通过设定税款分配规则，按计提规则生成各公司的税款；支持将计提完成的结果作为入账依据，生成总账记账凭证。</w:t>
      </w:r>
    </w:p>
    <w:p>
      <w:pPr>
        <w:numPr>
          <w:ilvl w:val="0"/>
          <w:numId w:val="48"/>
        </w:numPr>
        <w:kinsoku/>
        <w:wordWrap/>
        <w:topLinePunct w:val="0"/>
        <w:autoSpaceDE/>
        <w:autoSpaceDN/>
        <w:bidi w:val="0"/>
        <w:spacing w:line="560" w:lineRule="exact"/>
        <w:ind w:left="0" w:firstLine="604"/>
        <w:jc w:val="both"/>
        <w:rPr>
          <w:rFonts w:ascii="方正仿宋_GBK" w:hAnsi="方正仿宋_GBK"/>
          <w:snapToGrid w:val="0"/>
        </w:rPr>
      </w:pPr>
      <w:r>
        <w:rPr>
          <w:rFonts w:hint="eastAsia" w:ascii="方正仿宋_GBK" w:hAnsi="方正仿宋_GBK"/>
          <w:snapToGrid w:val="0"/>
        </w:rPr>
        <w:t>支持企业所得税汇算清缴工作；支持设置税款计提规则，并按规则生成汇算清缴的结果；支持将汇算清缴的结果作为入账依据，生成总账记账凭证。</w:t>
      </w:r>
    </w:p>
    <w:p>
      <w:pPr>
        <w:numPr>
          <w:ilvl w:val="0"/>
          <w:numId w:val="48"/>
        </w:numPr>
        <w:kinsoku/>
        <w:wordWrap/>
        <w:topLinePunct w:val="0"/>
        <w:autoSpaceDE/>
        <w:autoSpaceDN/>
        <w:bidi w:val="0"/>
        <w:spacing w:line="560" w:lineRule="exact"/>
        <w:ind w:left="0" w:firstLine="604"/>
        <w:jc w:val="both"/>
        <w:rPr>
          <w:rFonts w:ascii="方正仿宋_GBK" w:hAnsi="方正仿宋_GBK"/>
          <w:snapToGrid w:val="0"/>
        </w:rPr>
      </w:pPr>
      <w:r>
        <w:rPr>
          <w:rFonts w:hint="eastAsia" w:ascii="方正仿宋_GBK" w:hAnsi="方正仿宋_GBK"/>
          <w:snapToGrid w:val="0"/>
        </w:rPr>
        <w:t>支持生成税务报表；支持通过税务函数获取税务相关数据；</w:t>
      </w:r>
    </w:p>
    <w:p>
      <w:pPr>
        <w:numPr>
          <w:ilvl w:val="0"/>
          <w:numId w:val="48"/>
        </w:numPr>
        <w:kinsoku/>
        <w:wordWrap/>
        <w:topLinePunct w:val="0"/>
        <w:autoSpaceDE/>
        <w:autoSpaceDN/>
        <w:bidi w:val="0"/>
        <w:spacing w:line="560" w:lineRule="exact"/>
        <w:ind w:left="0" w:firstLine="604"/>
        <w:jc w:val="both"/>
        <w:rPr>
          <w:rFonts w:ascii="方正仿宋_GBK" w:hAnsi="方正仿宋_GBK"/>
          <w:snapToGrid w:val="0"/>
        </w:rPr>
      </w:pPr>
      <w:r>
        <w:rPr>
          <w:rFonts w:hint="eastAsia" w:ascii="方正仿宋_GBK" w:hAnsi="方正仿宋_GBK"/>
          <w:snapToGrid w:val="0"/>
        </w:rPr>
        <w:t>支持使用预置税务报表模板生成税务报表；支持生成不同税种的税务报表。</w:t>
      </w:r>
    </w:p>
    <w:p>
      <w:pPr>
        <w:pStyle w:val="8"/>
        <w:kinsoku/>
        <w:wordWrap/>
        <w:topLinePunct w:val="0"/>
        <w:autoSpaceDE/>
        <w:autoSpaceDN/>
        <w:bidi w:val="0"/>
        <w:spacing w:before="198" w:after="198" w:line="560" w:lineRule="exact"/>
      </w:pPr>
      <w:r>
        <w:rPr>
          <w:rFonts w:hint="eastAsia"/>
        </w:rPr>
        <w:t>基础数据管理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基础设置模块主要为系统的基础数据设置，如定义纳税组织，关联核算单位，导入往来单位信息用于发票开具，按需定义汇总开票关系，并设置税种、税目、税率、纳税区间以及每一种商品和税收编码对应的管理，并根据地方厂商提供接口信息完成地区金税接口定义用于发票认证、发票开具、纳税申报等业务操作。</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1.税务组织定义</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根据企业的实际组织结构，设置每一个由税号唯一标示的纳税主体，以及其他相应的税务组织信息，内容包括税务组织的基本信息、税务组织的税务登记信息、主管税务机关信息。</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2.税种管理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企业经营过程中会涉及各类税种，系统默认提供全税种，可以根据实际业务需要，选择需要启用的税种。</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3.税种管理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企业经营过程中会涉及各类税种，系统默认提供全税种，可以根据实际业务需要，选择需要启用的税种。</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4.地区金税接口定义</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企业在与税局端进行发票认证，发票开具，纳税申报等业务，需要先与地区厂商确认金税系统接口的具体内容。设定调试完成金税接口才能进行相应的业务。</w:t>
      </w:r>
    </w:p>
    <w:p>
      <w:pPr>
        <w:pStyle w:val="8"/>
        <w:kinsoku/>
        <w:wordWrap/>
        <w:topLinePunct w:val="0"/>
        <w:autoSpaceDE/>
        <w:autoSpaceDN/>
        <w:bidi w:val="0"/>
        <w:spacing w:before="198" w:after="198" w:line="560" w:lineRule="exact"/>
      </w:pPr>
      <w:r>
        <w:rPr>
          <w:rFonts w:hint="eastAsia"/>
        </w:rPr>
        <w:t>税基管理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税基管理为纳税申报提供数据支持，其中包括指标管理、取数科目、取数规则定义、税表格式定义、税表公式定义，以及从余额类税基数据和非余额类税基数据获取发生额，并支持减免税、进项税转出、不动产抵扣等相关台账登记，为纳税申报表的自动生成提供依据。</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1.数据源管理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定义的税基的来源系统信息。包含来源业务、来源单据类型、来源单据属性等。支持从不同的业务系统进行税基数据获取，包括网报、资金、采购、合同等系统的打通。</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2.取数科目定义</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定义作为税基数据的科目。</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3.取数规则定义</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定义纳税申报表中，每项指标的取数公式。</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4.税务减免项目</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税务管理中包含减税项、免税项，根据国税总局下发的减免税政策代码，结合企业具体业务内容，将相应的项目填写如税务减免项目，用于后续实际发生时减免税的登记。</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5.进项税转出项目</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税务管理中包含一些进项税转出项目，本系统根据政策要求把进项税的转出类型做了归集，全部由系统预制。</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6.余额类税基数据</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用于获取应税额计算中余额类税基数据，根据取数科目定义中的科目，获取相关科目的起始、期末本期发生额的信息。如果核算系统，可以自动获取，如果为异构系统，支持通过二次开发引入数据。</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7.非余额类税基数据</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除余额类税基数据以外，影响纳税的因素，作为非余额数据录入。</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8.减税登记</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根据税务局下发的减税政策，企业需要结合自身情况对减税项目进行登记。</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9.免税登记</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根据税务局下发的免税政策，企业需要结合自身情况对免税项目进行登记。</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10.进项税转出登记</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企业需要结合自身情况对进项税转出项目进行登记。</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11.不动产分期抵扣登记</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根据国税局下发的不动产抵扣政策，对符合条件的不动产分期抵扣进行台账管理。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12.税额抵减情况登记</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按税局发版文件，如购置环保设备等项目，可以进行税额抵减。</w:t>
      </w:r>
    </w:p>
    <w:p>
      <w:pPr>
        <w:pStyle w:val="8"/>
        <w:kinsoku/>
        <w:wordWrap/>
        <w:topLinePunct w:val="0"/>
        <w:autoSpaceDE/>
        <w:autoSpaceDN/>
        <w:bidi w:val="0"/>
        <w:spacing w:before="198" w:after="198" w:line="560" w:lineRule="exact"/>
      </w:pPr>
      <w:r>
        <w:rPr>
          <w:rFonts w:hint="eastAsia"/>
        </w:rPr>
        <w:t>价税管理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通过价税分离功能，实现与业务系统的数据自动传递，价税自动计算，并生成对应财务凭证、销售发票。</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1.交易数据抽取</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交易数据抽取支持通过接口或手工导入等方式，从原有业务系统（包含清算系统、自营业务系统和投行业务系统等核心业务系统），来进行对涉及价税分离的各类交易数据的抽取，为价税分离提供基础数据，同时也能满足数据保密性的要求。支持对从不同业务系统抽取的数据按照相应规则进行整合加工，保证输出符合交易认定要求的合规数据。</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2.价税分离匹配规则</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此功能提供增值税相关各类交易认定规则和计税方法配置功能，用来定义价税分离规则映射关系，根据税务组织、业务类型、客户和交易代码定义缴纳增值税税率、频率、时间点，作为价税分离计算的参数。</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3.价税分离</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此功能提供按照价税分离税率匹配规则、税率，对抽取的业务数据进行交易金额的价税分离计算。系统还支持对价税分离进行回滚操作，将分离后的数据还原为含税金额。</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4.待开发票</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可以按照客户、日期等不同的维度，按照明细、汇总等方式生成待开发票，汇总开具的发票可查询明细内容。生成待开发票后，将数据传递到开具蓝字发票模块。在发票开具时，若客户信息不全，允许直接在发票上手工补充客户涉税信息。</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5.凭证生成</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建立业务、税率与科目的对应关系，将价税分离后的数据自动传递到财务系统生成财务凭证。</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6.价税分离结果查询</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根据不同纳税组织、纳税周期统计价税分离结果。</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7.发票开具情况查询</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根据纳税组织、纳税周期、开票状态统计价税分离结果。</w:t>
      </w:r>
    </w:p>
    <w:p>
      <w:pPr>
        <w:pStyle w:val="8"/>
        <w:kinsoku/>
        <w:wordWrap/>
        <w:topLinePunct w:val="0"/>
        <w:autoSpaceDE/>
        <w:autoSpaceDN/>
        <w:bidi w:val="0"/>
        <w:spacing w:before="198" w:after="198" w:line="560" w:lineRule="exact"/>
      </w:pPr>
      <w:r>
        <w:rPr>
          <w:rFonts w:hint="eastAsia"/>
        </w:rPr>
        <w:t>发票管理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提供发票的全生命周期管理，对进项发票，支持多环节获取、认证，同时提供对接近认证期限的发票进行到期提醒，极大降低进项票的认证抵扣风险。对销项发票，通过打通与前端业务系统、后端税控系统的关联，使发票开具来源可追溯，实现将业务数据自动推送形成待开发票数据然后完成发票开票，降低发票的开具风险。同时，支持空白发票的管理与电子发票的开具与入账，帮助企业提高税务管理的效率。</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同时，税务系统实现与电子底账库、认证平台连通，可实时获取电子底账库信息，实现自动化进项发票认证，不再依赖于纸质发票。同时极大提高发票的入账效率，也帮助客户节省了采购发票扫描硬件的开支。</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1.进项发票登记</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登记进项发票的信息，登记方式多元化，可以手工添加，也可以通过Excel导入，同时并支持影像系统，通过手机终端扫描发票二维码或OCR识别技术直接提取发票关键信息。极大程度上提高发票登记效率。</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2.进项发票认证</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可从税务端电子底帐库、认证平台获取信息的平台，实现实时读取开给企业的进项发票信息，并可以自动化认证。</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3.进项发票盘点</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为了便于企业了解进项发票获取与认证情况，提供按时间区间按税务组织维度展示进项发票的获取、已认证、未认证张数，为后续的统计分析提供数据支持。</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4.发票到期提醒</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基于增值税发票180天认证期限的规则，企业可以自主设定发票认证提醒期限，对于达到期限范围的发票，可以通过系统通知、邮件等方式提醒相应的责任人注意处理，从而规避发票认证超期的风险。</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5.进项发票查询</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支持多个维度的进项发票的查询。包含税务组织、发票类型、日期范围等条件。并且可以对发票明细，是否包含认证数据进行查询。并以列表形式进行展示。</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6.发票领购</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通过内部审批机制，记录购买空白发票时的申请类型、数量、购买时库存量、责任人等信息，实现空白票起始端的严格管控。同时，也支持通过定义发票领购接口直接获取发票信息。</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7.发票入库</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确保系统与实物的一致性，在过程中严格管控发票库。</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8.发票退回</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根据税务局要求，对于空白发票损坏，错版等可以进行发票的退回，并对退回的人员，时间与原因进行记录。</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9.空白发票盘点</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为了便于企业统计空白发票的领购、库存、使用数量，系统提供按具体时间或区间查询各组织下空白发票数据，为后续的统计分析提供数据支持。</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10.开具蓝票</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实现与开票系统通过接口传入，不需要人为录入，并以业务流水开票的形式严格控制发票虚开多开，以手工开票的形式实现特殊业务场景的发票开具和记录备查。</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11.发票作废</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可以按组织查询到所有当月开具的发票，通过勾选的方式对符合作废条件的发票进行作废申请和处理，并对作废人员、作废时间、作废原因进行记录。</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12.开具红票</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对不满足作废条件的发票进行发票红冲的申请和处理，支持直接勾选需要红冲的蓝票信息，提高信息录入效率与准确性，并对红冲人员、红冲时间、红冲原因、红字通知单信息等进行记录。</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13.销项发票查询</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支持多个维度的进项发票的查询。包含税务组织、发票类型、日期范围等条件。并且可以对发票明细进行联查，包含对于红字发票可以同步进行查询。</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14.空白发票使用情况查询</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支持多个维度的进项发票的查询。包含税务组织、发票类型、日期范围等条件。并且可以对发票明细。对发票的领购日期、入库日期、发票的最新状态和最新更新日期进行展示，便于对空白发票进行追踪。</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15.进销项发票对比分析</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通过对进项和销项发票明细信息进行对比查询。可以分别获取进项以及销项的发票商品明细进行对比，通过进项和销项的用途匹配程度，进而推断出企业的经营方向，规避税务风险。</w:t>
      </w:r>
    </w:p>
    <w:p>
      <w:pPr>
        <w:pStyle w:val="8"/>
        <w:kinsoku/>
        <w:wordWrap/>
        <w:topLinePunct w:val="0"/>
        <w:autoSpaceDE/>
        <w:autoSpaceDN/>
        <w:bidi w:val="0"/>
        <w:spacing w:before="198" w:after="198" w:line="560" w:lineRule="exact"/>
      </w:pPr>
      <w:r>
        <w:rPr>
          <w:rFonts w:hint="eastAsia"/>
        </w:rPr>
        <w:t>纳税申报</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税控系统可以从不同的业务系统进行税基数据获取，可实现和网报、应收应付、销售、采购、项目合同等系统联通。通过价税分离功能，实现与业务系统的数据自动传递，价税自动计算，并生成对应财务凭证、销售发票。通过余额类税基数据采集、不动产分期抵扣登记、进项税转出登记、税额抵减情况登记和减免税情况登记等功能，对申报表的税基数据进行全自动、半自动的收集，实现纳税申报表数据的自动取数、计算和审核。可以对申报表进行按组织汇总、任意汇总。</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1.纳税计算</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计算增值税、所得税、资源税等数据，自动将计算后的报表数据进行对比，显示未符内容。通过所得税的预缴和汇算清缴数据的收集，计算调整数值，并实现递延所得税的自动计算。支持对税务组织预征税率的配置化维护，以应对地区、时间性的变化。</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2.纳税审核</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审核各</w:t>
      </w:r>
      <w:r>
        <w:rPr>
          <w:rFonts w:hint="eastAsia" w:ascii="方正仿宋_GBK" w:hAnsi="方正仿宋_GBK"/>
          <w:snapToGrid w:val="0"/>
          <w:lang w:val="en-US" w:eastAsia="zh-CN"/>
        </w:rPr>
        <w:t>企业</w:t>
      </w:r>
      <w:r>
        <w:rPr>
          <w:rFonts w:hint="eastAsia" w:ascii="方正仿宋_GBK" w:hAnsi="方正仿宋_GBK"/>
          <w:snapToGrid w:val="0"/>
        </w:rPr>
        <w:t>的纳税信息。</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3.申报数据查看</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对填报的报表数据进行查看，打印，导出、归档等操作。</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4.纳税汇总</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纳税汇总功能是将已审核的纳税申报表按照不同维度（组织汇总、任意汇总）汇总起来，供后续查询。</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5.纳税申报</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通过与纳税申报系统的对接，实现纳税申报表的“一点申报”。</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6.纳税申报表查询</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单位报表查询功能查看单位填报的数据或汇总出的报表数据。</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7.申报表打印输出</w:t>
      </w:r>
    </w:p>
    <w:p>
      <w:pPr>
        <w:numPr>
          <w:ilvl w:val="0"/>
          <w:numId w:val="49"/>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报表打印</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对填制的报表进行打印。可直接选择要打印的组织，也可以定义组织模板。</w:t>
      </w:r>
    </w:p>
    <w:p>
      <w:pPr>
        <w:numPr>
          <w:ilvl w:val="0"/>
          <w:numId w:val="49"/>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报表转出</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将需要导出的纳税申报表转出为excel表。可手工选择转出组织，也可定义组织模板。</w:t>
      </w:r>
    </w:p>
    <w:p>
      <w:pPr>
        <w:pStyle w:val="8"/>
        <w:kinsoku/>
        <w:wordWrap/>
        <w:topLinePunct w:val="0"/>
        <w:autoSpaceDE/>
        <w:autoSpaceDN/>
        <w:bidi w:val="0"/>
        <w:spacing w:before="198" w:after="198" w:line="560" w:lineRule="exact"/>
      </w:pPr>
      <w:r>
        <w:rPr>
          <w:rFonts w:hint="eastAsia"/>
        </w:rPr>
        <w:t>税务风险</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税务风险管理提供完备的税务风险管理体系</w:t>
      </w:r>
      <w:r>
        <w:rPr>
          <w:rFonts w:hint="eastAsia" w:ascii="方正仿宋_GBK" w:hAnsi="方正仿宋_GBK"/>
          <w:snapToGrid w:val="0"/>
          <w:lang w:val="en-US" w:eastAsia="zh-CN"/>
        </w:rPr>
        <w:t>以及</w:t>
      </w:r>
      <w:r>
        <w:rPr>
          <w:rFonts w:hint="eastAsia" w:ascii="方正仿宋_GBK" w:hAnsi="方正仿宋_GBK"/>
          <w:snapToGrid w:val="0"/>
        </w:rPr>
        <w:t>建立税务风险指标库</w:t>
      </w:r>
      <w:r>
        <w:rPr>
          <w:rFonts w:hint="eastAsia" w:ascii="方正仿宋_GBK" w:hAnsi="方正仿宋_GBK"/>
          <w:snapToGrid w:val="0"/>
          <w:lang w:eastAsia="zh-CN"/>
        </w:rPr>
        <w:t>，</w:t>
      </w:r>
      <w:r>
        <w:rPr>
          <w:rFonts w:hint="eastAsia" w:ascii="方正仿宋_GBK" w:hAnsi="方正仿宋_GBK"/>
          <w:snapToGrid w:val="0"/>
        </w:rPr>
        <w:t>实现企业对风险点的自查评估。通过梳理风险清单与定义风险指标，提供实时监控看板，对超阈值的指标实现责任人的及时通知。实现数据的层层穿透，实现企业对税务风险的闭环管理。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1.风险指标</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险指标可根据税种、风控类别、需要核查业务系统以及系统中的核查内容进行定义，并且与风险清单进行匹配关联。可设置指标取数公式和上下限（合理区间），为指标数据提取和监控预警提供依据。支持多数据源，取数函数定制等。</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2.风险预警</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根据税务风险指标及临界预警值，自动计算指标值，进行预警提示，实现长期对企业内部的税务风险进行高效、及时的管控和预警。</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3.风险预警</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风险应对环节主要是通过对评估结果形成多个任务批次，在单位间进行流转，在最终任务下发给某一级机关后，有风险处置环节进行此风险的应对处置。发现异常后，点击异常数据系统自动弹出要素构成，可以继续联查明细账，直至凭证。实现风险预警回溯。</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4.风险分析报告</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通过定义分析周期与报表模板，可以自动生成文档性质的税务风险分析报告。生成的报告可在系统中进行查阅。</w:t>
      </w:r>
    </w:p>
    <w:p>
      <w:pPr>
        <w:pStyle w:val="7"/>
        <w:kinsoku/>
        <w:wordWrap/>
        <w:topLinePunct w:val="0"/>
        <w:autoSpaceDE/>
        <w:autoSpaceDN/>
        <w:bidi w:val="0"/>
        <w:spacing w:before="198" w:after="198" w:line="560" w:lineRule="exact"/>
        <w:rPr>
          <w:rFonts w:hint="default"/>
        </w:rPr>
      </w:pPr>
      <w:r>
        <w:t>财务分析</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在建立内部财务信息系统基础上，搭建基于企业不同应用系统之上的数据集成平台，建立覆盖全集团数据查询体系、各类业务关键指标体系及风险预警控制体系，通过数据采集交换平台将财务集中核算、资金管理、税务管理数据集中归集到数据分析平台，设立多维度管理分析模型和数据展示图表（包含财务分析模型、财务预测模型、综合预警模型、评价分析模型、信贷分析模型、综合分析模型等满足管理决策的多维功能模块），为集团高层战略决策提供可靠的财务信息支撑。</w:t>
      </w:r>
    </w:p>
    <w:p>
      <w:pPr>
        <w:numPr>
          <w:ilvl w:val="0"/>
          <w:numId w:val="50"/>
        </w:numPr>
        <w:kinsoku/>
        <w:wordWrap/>
        <w:topLinePunct w:val="0"/>
        <w:autoSpaceDE/>
        <w:autoSpaceDN/>
        <w:bidi w:val="0"/>
        <w:spacing w:line="560" w:lineRule="exact"/>
        <w:ind w:left="0" w:firstLine="604"/>
        <w:jc w:val="both"/>
        <w:rPr>
          <w:rFonts w:ascii="方正仿宋_GBK" w:hAnsi="方正仿宋_GBK"/>
          <w:snapToGrid w:val="0"/>
        </w:rPr>
      </w:pPr>
      <w:r>
        <w:rPr>
          <w:rFonts w:hint="eastAsia" w:ascii="方正仿宋_GBK" w:hAnsi="方正仿宋_GBK"/>
          <w:snapToGrid w:val="0"/>
        </w:rPr>
        <w:t>支持从多角度、多期间、多公司等维度实现财务数据的立体分析，对历史变动大的数据及预算差异进行自动或穿透性分析。</w:t>
      </w:r>
    </w:p>
    <w:p>
      <w:pPr>
        <w:numPr>
          <w:ilvl w:val="0"/>
          <w:numId w:val="50"/>
        </w:numPr>
        <w:kinsoku/>
        <w:wordWrap/>
        <w:topLinePunct w:val="0"/>
        <w:autoSpaceDE/>
        <w:autoSpaceDN/>
        <w:bidi w:val="0"/>
        <w:spacing w:line="560" w:lineRule="exact"/>
        <w:ind w:left="0" w:firstLine="604"/>
        <w:jc w:val="both"/>
        <w:rPr>
          <w:rFonts w:ascii="方正仿宋_GBK" w:hAnsi="方正仿宋_GBK"/>
          <w:snapToGrid w:val="0"/>
        </w:rPr>
      </w:pPr>
      <w:r>
        <w:rPr>
          <w:rFonts w:hint="eastAsia" w:ascii="方正仿宋_GBK" w:hAnsi="方正仿宋_GBK"/>
          <w:snapToGrid w:val="0"/>
        </w:rPr>
        <w:t>板块应当简单便捷，类似EXCEL透视表式拖拽设计格式</w:t>
      </w:r>
    </w:p>
    <w:p>
      <w:pPr>
        <w:numPr>
          <w:ilvl w:val="0"/>
          <w:numId w:val="50"/>
        </w:numPr>
        <w:kinsoku/>
        <w:wordWrap/>
        <w:topLinePunct w:val="0"/>
        <w:autoSpaceDE/>
        <w:autoSpaceDN/>
        <w:bidi w:val="0"/>
        <w:spacing w:line="560" w:lineRule="exact"/>
        <w:ind w:left="0" w:firstLine="604"/>
        <w:jc w:val="both"/>
        <w:rPr>
          <w:rFonts w:ascii="方正仿宋_GBK" w:hAnsi="方正仿宋_GBK"/>
          <w:snapToGrid w:val="0"/>
        </w:rPr>
      </w:pPr>
      <w:r>
        <w:rPr>
          <w:rFonts w:hint="eastAsia" w:ascii="方正仿宋_GBK" w:hAnsi="方正仿宋_GBK"/>
          <w:snapToGrid w:val="0"/>
        </w:rPr>
        <w:t>支持用户级操作可实现快速自由搭建分析模型。</w:t>
      </w:r>
    </w:p>
    <w:p>
      <w:pPr>
        <w:numPr>
          <w:ilvl w:val="0"/>
          <w:numId w:val="50"/>
        </w:numPr>
        <w:kinsoku/>
        <w:wordWrap/>
        <w:topLinePunct w:val="0"/>
        <w:autoSpaceDE/>
        <w:autoSpaceDN/>
        <w:bidi w:val="0"/>
        <w:spacing w:line="560" w:lineRule="exact"/>
        <w:ind w:left="0" w:firstLine="604"/>
        <w:jc w:val="both"/>
        <w:rPr>
          <w:rFonts w:ascii="方正仿宋_GBK" w:hAnsi="方正仿宋_GBK"/>
          <w:snapToGrid w:val="0"/>
        </w:rPr>
      </w:pPr>
      <w:r>
        <w:rPr>
          <w:rFonts w:hint="eastAsia" w:ascii="方正仿宋_GBK" w:hAnsi="方正仿宋_GBK"/>
          <w:snapToGrid w:val="0"/>
        </w:rPr>
        <w:t>支持自由配置查询条件、财务分析预览功能。</w:t>
      </w:r>
    </w:p>
    <w:p>
      <w:pPr>
        <w:numPr>
          <w:ilvl w:val="0"/>
          <w:numId w:val="50"/>
        </w:numPr>
        <w:kinsoku/>
        <w:wordWrap/>
        <w:topLinePunct w:val="0"/>
        <w:autoSpaceDE/>
        <w:autoSpaceDN/>
        <w:bidi w:val="0"/>
        <w:spacing w:line="560" w:lineRule="exact"/>
        <w:ind w:left="0" w:firstLine="604"/>
        <w:jc w:val="both"/>
        <w:rPr>
          <w:rFonts w:ascii="方正仿宋_GBK" w:hAnsi="方正仿宋_GBK"/>
          <w:snapToGrid w:val="0"/>
        </w:rPr>
      </w:pPr>
      <w:r>
        <w:rPr>
          <w:rFonts w:hint="eastAsia" w:ascii="方正仿宋_GBK" w:hAnsi="方正仿宋_GBK"/>
          <w:snapToGrid w:val="0"/>
        </w:rPr>
        <w:t>支持对下属各单位分析的自动收集汇总。</w:t>
      </w:r>
    </w:p>
    <w:p>
      <w:pPr>
        <w:pStyle w:val="7"/>
        <w:kinsoku/>
        <w:wordWrap/>
        <w:topLinePunct w:val="0"/>
        <w:autoSpaceDE/>
        <w:autoSpaceDN/>
        <w:bidi w:val="0"/>
        <w:spacing w:before="198" w:after="198" w:line="560" w:lineRule="exact"/>
        <w:rPr>
          <w:rFonts w:hint="default"/>
        </w:rPr>
      </w:pPr>
      <w:r>
        <w:t>财务报表</w:t>
      </w:r>
    </w:p>
    <w:p>
      <w:pPr>
        <w:pStyle w:val="8"/>
        <w:kinsoku/>
        <w:wordWrap/>
        <w:topLinePunct w:val="0"/>
        <w:autoSpaceDE/>
        <w:autoSpaceDN/>
        <w:bidi w:val="0"/>
        <w:spacing w:before="198" w:after="198" w:line="560" w:lineRule="exact"/>
      </w:pPr>
      <w:r>
        <w:rPr>
          <w:rFonts w:hint="eastAsia"/>
        </w:rPr>
        <w:t>单户报表</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报表是财务人员用来反映财务经营成果的重要工具，在每个会计期末财会人员都要花费大量精力编制报表。财务报表系统结合了报表、汇总报表的特点，承袭EXCEL风格，在WEB页面上实现灵活的报表编制、报表公式定义、计算、汇总、查询分析等功能。报表无需经过上报、汇总，即可根据分配的权限查询各种本级单位的汇总报表。在哪一级查询，产生的结果就是哪一级单位的报表汇总结果。而且汇总的结果可以包含抵消内部交易数据，这样的汇总查询是基于基础数据的合并结果，而非建立在报表层面的汇总结果，所以更具有数据的真实性和可追溯性。</w:t>
      </w:r>
    </w:p>
    <w:p>
      <w:pPr>
        <w:numPr>
          <w:ilvl w:val="0"/>
          <w:numId w:val="51"/>
        </w:numPr>
        <w:kinsoku/>
        <w:wordWrap/>
        <w:topLinePunct w:val="0"/>
        <w:autoSpaceDE/>
        <w:autoSpaceDN/>
        <w:bidi w:val="0"/>
        <w:spacing w:line="560" w:lineRule="exact"/>
        <w:ind w:left="0" w:firstLine="604"/>
        <w:jc w:val="both"/>
        <w:rPr>
          <w:rFonts w:ascii="方正仿宋_GBK" w:hAnsi="方正仿宋_GBK"/>
          <w:snapToGrid w:val="0"/>
        </w:rPr>
      </w:pPr>
      <w:r>
        <w:rPr>
          <w:rFonts w:hint="eastAsia" w:ascii="方正仿宋_GBK" w:hAnsi="方正仿宋_GBK"/>
          <w:snapToGrid w:val="0"/>
        </w:rPr>
        <w:t>板块提供不同行业的标准财务报表模板，通过取数公式从数据库中抓取数据，形成多样式、多维度的财务报表。可对报表模板增加、删除、模板修改、模板查询功能进行授权。</w:t>
      </w:r>
    </w:p>
    <w:p>
      <w:pPr>
        <w:numPr>
          <w:ilvl w:val="0"/>
          <w:numId w:val="51"/>
        </w:numPr>
        <w:kinsoku/>
        <w:wordWrap/>
        <w:topLinePunct w:val="0"/>
        <w:autoSpaceDE/>
        <w:autoSpaceDN/>
        <w:bidi w:val="0"/>
        <w:spacing w:line="560" w:lineRule="exact"/>
        <w:ind w:left="0" w:firstLine="604"/>
        <w:jc w:val="both"/>
        <w:rPr>
          <w:rFonts w:ascii="方正仿宋_GBK" w:hAnsi="方正仿宋_GBK"/>
          <w:snapToGrid w:val="0"/>
        </w:rPr>
      </w:pPr>
      <w:r>
        <w:rPr>
          <w:rFonts w:hint="eastAsia" w:ascii="方正仿宋_GBK" w:hAnsi="方正仿宋_GBK"/>
          <w:snapToGrid w:val="0"/>
        </w:rPr>
        <w:t>板块支持自定义报表，根据各报表之间的数据关系自定义制作图文混排的报表（如直方图、立体图、圆饼图、折线图等），生成多样式财务图表分析报表；也支持根据实际需要订制内部管理报表模板；且支持自定义表样的下发和更小核算单元的管理报表的下发。</w:t>
      </w:r>
    </w:p>
    <w:p>
      <w:pPr>
        <w:numPr>
          <w:ilvl w:val="0"/>
          <w:numId w:val="51"/>
        </w:numPr>
        <w:kinsoku/>
        <w:wordWrap/>
        <w:topLinePunct w:val="0"/>
        <w:autoSpaceDE/>
        <w:autoSpaceDN/>
        <w:bidi w:val="0"/>
        <w:spacing w:line="560" w:lineRule="exact"/>
        <w:ind w:left="0" w:firstLine="604"/>
        <w:jc w:val="both"/>
        <w:rPr>
          <w:rFonts w:ascii="方正仿宋_GBK" w:hAnsi="方正仿宋_GBK"/>
          <w:snapToGrid w:val="0"/>
        </w:rPr>
      </w:pPr>
      <w:r>
        <w:rPr>
          <w:rFonts w:hint="eastAsia" w:ascii="方正仿宋_GBK" w:hAnsi="方正仿宋_GBK"/>
          <w:snapToGrid w:val="0"/>
        </w:rPr>
        <w:t>支持对报表增加、删除、修改、查询功能进行数据授权。</w:t>
      </w:r>
    </w:p>
    <w:p>
      <w:pPr>
        <w:numPr>
          <w:ilvl w:val="0"/>
          <w:numId w:val="51"/>
        </w:numPr>
        <w:kinsoku/>
        <w:wordWrap/>
        <w:topLinePunct w:val="0"/>
        <w:autoSpaceDE/>
        <w:autoSpaceDN/>
        <w:bidi w:val="0"/>
        <w:spacing w:line="560" w:lineRule="exact"/>
        <w:ind w:left="0" w:firstLine="604"/>
        <w:jc w:val="both"/>
        <w:rPr>
          <w:rFonts w:ascii="方正仿宋_GBK" w:hAnsi="方正仿宋_GBK"/>
          <w:snapToGrid w:val="0"/>
        </w:rPr>
      </w:pPr>
      <w:r>
        <w:rPr>
          <w:rFonts w:hint="eastAsia" w:ascii="方正仿宋_GBK" w:hAnsi="方正仿宋_GBK"/>
          <w:snapToGrid w:val="0"/>
        </w:rPr>
        <w:t>提供灵活的表内公式、表间公式的设置，减少录入工作量和人为误差。</w:t>
      </w:r>
    </w:p>
    <w:p>
      <w:pPr>
        <w:numPr>
          <w:ilvl w:val="0"/>
          <w:numId w:val="51"/>
        </w:numPr>
        <w:kinsoku/>
        <w:wordWrap/>
        <w:topLinePunct w:val="0"/>
        <w:autoSpaceDE/>
        <w:autoSpaceDN/>
        <w:bidi w:val="0"/>
        <w:spacing w:line="560" w:lineRule="exact"/>
        <w:ind w:left="0" w:firstLine="604"/>
        <w:jc w:val="both"/>
        <w:rPr>
          <w:rFonts w:ascii="方正仿宋_GBK" w:hAnsi="方正仿宋_GBK"/>
          <w:snapToGrid w:val="0"/>
        </w:rPr>
      </w:pPr>
      <w:r>
        <w:rPr>
          <w:rFonts w:hint="eastAsia" w:ascii="方正仿宋_GBK" w:hAnsi="方正仿宋_GBK"/>
          <w:snapToGrid w:val="0"/>
        </w:rPr>
        <w:t>提供数据验证规则，包含：主表内及表间的勾稽验证、主附表间勾稽验证等，同时支持用户灵活定义数据验证规则。</w:t>
      </w:r>
    </w:p>
    <w:p>
      <w:pPr>
        <w:numPr>
          <w:ilvl w:val="0"/>
          <w:numId w:val="51"/>
        </w:numPr>
        <w:kinsoku/>
        <w:wordWrap/>
        <w:topLinePunct w:val="0"/>
        <w:autoSpaceDE/>
        <w:autoSpaceDN/>
        <w:bidi w:val="0"/>
        <w:spacing w:line="560" w:lineRule="exact"/>
        <w:ind w:left="0" w:firstLine="604"/>
        <w:jc w:val="both"/>
        <w:rPr>
          <w:rFonts w:ascii="方正仿宋_GBK" w:hAnsi="方正仿宋_GBK"/>
          <w:snapToGrid w:val="0"/>
        </w:rPr>
      </w:pPr>
      <w:r>
        <w:rPr>
          <w:rFonts w:hint="eastAsia" w:ascii="方正仿宋_GBK" w:hAnsi="方正仿宋_GBK"/>
          <w:snapToGrid w:val="0"/>
        </w:rPr>
        <w:t>通过报表系统，可查询至总账、明细账、凭证、原始单据（包括电子会计档案）以及建设资金来源等信息。</w:t>
      </w:r>
    </w:p>
    <w:p>
      <w:pPr>
        <w:numPr>
          <w:ilvl w:val="0"/>
          <w:numId w:val="51"/>
        </w:numPr>
        <w:kinsoku/>
        <w:wordWrap/>
        <w:topLinePunct w:val="0"/>
        <w:autoSpaceDE/>
        <w:autoSpaceDN/>
        <w:bidi w:val="0"/>
        <w:spacing w:line="560" w:lineRule="exact"/>
        <w:ind w:left="0" w:firstLine="604"/>
        <w:jc w:val="both"/>
        <w:rPr>
          <w:rFonts w:ascii="方正仿宋_GBK" w:hAnsi="方正仿宋_GBK"/>
          <w:snapToGrid w:val="0"/>
        </w:rPr>
      </w:pPr>
      <w:r>
        <w:rPr>
          <w:rFonts w:hint="eastAsia" w:ascii="方正仿宋_GBK" w:hAnsi="方正仿宋_GBK"/>
          <w:snapToGrid w:val="0"/>
        </w:rPr>
        <w:t>综合分析查询，实现对指定单位、指定科目、指定数据项目的对比分析等。</w:t>
      </w:r>
    </w:p>
    <w:p>
      <w:pPr>
        <w:numPr>
          <w:ilvl w:val="0"/>
          <w:numId w:val="51"/>
        </w:numPr>
        <w:kinsoku/>
        <w:wordWrap/>
        <w:topLinePunct w:val="0"/>
        <w:autoSpaceDE/>
        <w:autoSpaceDN/>
        <w:bidi w:val="0"/>
        <w:spacing w:line="560" w:lineRule="exact"/>
        <w:ind w:left="0" w:firstLine="604"/>
        <w:jc w:val="both"/>
        <w:rPr>
          <w:rFonts w:ascii="方正仿宋_GBK" w:hAnsi="方正仿宋_GBK"/>
          <w:snapToGrid w:val="0"/>
        </w:rPr>
      </w:pPr>
      <w:r>
        <w:rPr>
          <w:rFonts w:hint="eastAsia" w:ascii="方正仿宋_GBK" w:hAnsi="方正仿宋_GBK"/>
          <w:snapToGrid w:val="0"/>
        </w:rPr>
        <w:t>支持Excel文件导入、WEB表单网上填报等多种填报方式。</w:t>
      </w:r>
    </w:p>
    <w:p>
      <w:pPr>
        <w:numPr>
          <w:ilvl w:val="0"/>
          <w:numId w:val="51"/>
        </w:numPr>
        <w:kinsoku/>
        <w:wordWrap/>
        <w:topLinePunct w:val="0"/>
        <w:autoSpaceDE/>
        <w:autoSpaceDN/>
        <w:bidi w:val="0"/>
        <w:spacing w:line="560" w:lineRule="exact"/>
        <w:ind w:left="0" w:firstLine="604"/>
        <w:jc w:val="both"/>
        <w:rPr>
          <w:rFonts w:ascii="方正仿宋_GBK" w:hAnsi="方正仿宋_GBK"/>
          <w:snapToGrid w:val="0"/>
        </w:rPr>
      </w:pPr>
      <w:r>
        <w:rPr>
          <w:rFonts w:hint="eastAsia" w:ascii="方正仿宋_GBK" w:hAnsi="方正仿宋_GBK"/>
          <w:snapToGrid w:val="0"/>
        </w:rPr>
        <w:t>除合并报表所需财务信息，还支持通过文件导入或WEB表单填报的方式采集外部披露或内部管理所需数据信息。</w:t>
      </w:r>
    </w:p>
    <w:p>
      <w:pPr>
        <w:numPr>
          <w:ilvl w:val="0"/>
          <w:numId w:val="51"/>
        </w:numPr>
        <w:kinsoku/>
        <w:wordWrap/>
        <w:topLinePunct w:val="0"/>
        <w:autoSpaceDE/>
        <w:autoSpaceDN/>
        <w:bidi w:val="0"/>
        <w:spacing w:line="560" w:lineRule="exact"/>
        <w:ind w:left="0" w:firstLine="604"/>
        <w:jc w:val="both"/>
        <w:rPr>
          <w:rFonts w:ascii="方正仿宋_GBK" w:hAnsi="方正仿宋_GBK"/>
          <w:snapToGrid w:val="0"/>
        </w:rPr>
      </w:pPr>
      <w:r>
        <w:rPr>
          <w:rFonts w:hint="eastAsia" w:ascii="方正仿宋_GBK" w:hAnsi="方正仿宋_GBK"/>
          <w:snapToGrid w:val="0"/>
        </w:rPr>
        <w:t>支持财政局、国资委、税务等政府管理部门的报表要求，实现系统无缝对接，减少工作量。</w:t>
      </w:r>
    </w:p>
    <w:p>
      <w:pPr>
        <w:pStyle w:val="8"/>
        <w:kinsoku/>
        <w:wordWrap/>
        <w:topLinePunct w:val="0"/>
        <w:autoSpaceDE/>
        <w:autoSpaceDN/>
        <w:bidi w:val="0"/>
        <w:spacing w:before="198" w:after="198" w:line="560" w:lineRule="exact"/>
      </w:pPr>
      <w:r>
        <w:rPr>
          <w:rFonts w:hint="eastAsia"/>
        </w:rPr>
        <w:t>合并报表</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能够实现集团财务数据的快速统计、汇总、合并。根据管理需要，实现会计事项跨单位、跨科目查询及合并，实现任一下属企业报表的自动生成以及数家或全部下属单位报表的自动分类汇总，快速实现全集团主要会计报表的汇总，为决策支持提供有效参考。</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面向企业合并需求进行设计，实现复杂的集团财务环境现状下的财务及管理报表合并。实现集团内各级公司报表数据的自动提取和快速采集，同时自动实现个别报表成本法向权益法的调整并完成自动合并抵销，辅以手动抵销和输入调整，完成集团合并报表和工作底稿的自动生成，保证企业合并报表及时、真实和准确，通过保留合并线索以满足审计需求等。实现浮动报表的自动汇总功能。</w:t>
      </w:r>
    </w:p>
    <w:p>
      <w:pPr>
        <w:numPr>
          <w:ilvl w:val="0"/>
          <w:numId w:val="52"/>
        </w:numPr>
        <w:kinsoku/>
        <w:wordWrap/>
        <w:topLinePunct w:val="0"/>
        <w:autoSpaceDE/>
        <w:autoSpaceDN/>
        <w:bidi w:val="0"/>
        <w:spacing w:line="560" w:lineRule="exact"/>
        <w:ind w:left="0" w:firstLine="604"/>
        <w:jc w:val="both"/>
        <w:rPr>
          <w:rFonts w:ascii="方正仿宋_GBK" w:hAnsi="方正仿宋_GBK"/>
          <w:snapToGrid w:val="0"/>
        </w:rPr>
      </w:pPr>
      <w:r>
        <w:rPr>
          <w:rFonts w:hint="eastAsia" w:ascii="方正仿宋_GBK" w:hAnsi="方正仿宋_GBK"/>
          <w:snapToGrid w:val="0"/>
        </w:rPr>
        <w:t>支持各级用户通过系统内置审核功能对填报数据逻辑关系进行检查，检查未通过的，可退回下级单位；已接收的报表可取消接收并退回。</w:t>
      </w:r>
    </w:p>
    <w:p>
      <w:pPr>
        <w:numPr>
          <w:ilvl w:val="0"/>
          <w:numId w:val="52"/>
        </w:numPr>
        <w:kinsoku/>
        <w:wordWrap/>
        <w:topLinePunct w:val="0"/>
        <w:autoSpaceDE/>
        <w:autoSpaceDN/>
        <w:bidi w:val="0"/>
        <w:spacing w:line="560" w:lineRule="exact"/>
        <w:ind w:left="0" w:firstLine="604"/>
        <w:jc w:val="both"/>
        <w:rPr>
          <w:rFonts w:ascii="方正仿宋_GBK" w:hAnsi="方正仿宋_GBK"/>
          <w:snapToGrid w:val="0"/>
        </w:rPr>
      </w:pPr>
      <w:r>
        <w:rPr>
          <w:rFonts w:hint="eastAsia" w:ascii="方正仿宋_GBK" w:hAnsi="方正仿宋_GBK"/>
          <w:snapToGrid w:val="0"/>
        </w:rPr>
        <w:t>提供报表合并过程中上级复核功能，能从合并结果追溯到基础数据来源。</w:t>
      </w:r>
    </w:p>
    <w:p>
      <w:pPr>
        <w:numPr>
          <w:ilvl w:val="0"/>
          <w:numId w:val="52"/>
        </w:numPr>
        <w:kinsoku/>
        <w:wordWrap/>
        <w:topLinePunct w:val="0"/>
        <w:autoSpaceDE/>
        <w:autoSpaceDN/>
        <w:bidi w:val="0"/>
        <w:spacing w:line="560" w:lineRule="exact"/>
        <w:ind w:left="0" w:firstLine="604"/>
        <w:jc w:val="both"/>
        <w:rPr>
          <w:rFonts w:ascii="方正仿宋_GBK" w:hAnsi="方正仿宋_GBK"/>
          <w:snapToGrid w:val="0"/>
        </w:rPr>
      </w:pPr>
      <w:r>
        <w:rPr>
          <w:rFonts w:hint="eastAsia" w:ascii="方正仿宋_GBK" w:hAnsi="方正仿宋_GBK"/>
          <w:snapToGrid w:val="0"/>
        </w:rPr>
        <w:t>支持各法人主体和合并报告主体的资产负债表、利润表、现金流量表和所有者权益变动表的合并。</w:t>
      </w:r>
    </w:p>
    <w:p>
      <w:pPr>
        <w:numPr>
          <w:ilvl w:val="0"/>
          <w:numId w:val="52"/>
        </w:numPr>
        <w:kinsoku/>
        <w:wordWrap/>
        <w:topLinePunct w:val="0"/>
        <w:autoSpaceDE/>
        <w:autoSpaceDN/>
        <w:bidi w:val="0"/>
        <w:spacing w:line="560" w:lineRule="exact"/>
        <w:ind w:left="0" w:firstLine="604"/>
        <w:jc w:val="both"/>
        <w:rPr>
          <w:rFonts w:ascii="方正仿宋_GBK" w:hAnsi="方正仿宋_GBK"/>
          <w:snapToGrid w:val="0"/>
        </w:rPr>
      </w:pPr>
      <w:r>
        <w:rPr>
          <w:rFonts w:hint="eastAsia" w:ascii="方正仿宋_GBK" w:hAnsi="方正仿宋_GBK"/>
          <w:snapToGrid w:val="0"/>
        </w:rPr>
        <w:t>支持企业合并中股权抵消的会计处理；支持同一控制下企业合并、非同一控制下企业合并、收购少数股东股权、分步收购股权、部分处置股权不丧失控制权、部分处置股权丧失控制权等各类增（减）持股权形式的权益抵消；可根据不同情况灵活方便设置不同的抵销分录模板；支持联合持股、交叉持股、循环持股复杂多层级股权形式的权益抵消。</w:t>
      </w:r>
    </w:p>
    <w:p>
      <w:pPr>
        <w:numPr>
          <w:ilvl w:val="0"/>
          <w:numId w:val="52"/>
        </w:numPr>
        <w:kinsoku/>
        <w:wordWrap/>
        <w:topLinePunct w:val="0"/>
        <w:autoSpaceDE/>
        <w:autoSpaceDN/>
        <w:bidi w:val="0"/>
        <w:spacing w:line="560" w:lineRule="exact"/>
        <w:ind w:left="0" w:firstLine="604"/>
        <w:jc w:val="both"/>
        <w:rPr>
          <w:rFonts w:ascii="方正仿宋_GBK" w:hAnsi="方正仿宋_GBK"/>
          <w:snapToGrid w:val="0"/>
        </w:rPr>
      </w:pPr>
      <w:r>
        <w:rPr>
          <w:rFonts w:hint="eastAsia" w:ascii="方正仿宋_GBK" w:hAnsi="方正仿宋_GBK"/>
          <w:snapToGrid w:val="0"/>
        </w:rPr>
        <w:t>支持股权架构、股权比例变化的权益抵消，能分期保存股权架构、股权比例，支持股权结构范围及变化展现；支持持股比例版本化管理，且能够分段抵销；抵销模板可根据实际业务进行灵活设置。</w:t>
      </w:r>
    </w:p>
    <w:p>
      <w:pPr>
        <w:numPr>
          <w:ilvl w:val="0"/>
          <w:numId w:val="52"/>
        </w:numPr>
        <w:kinsoku/>
        <w:wordWrap/>
        <w:topLinePunct w:val="0"/>
        <w:autoSpaceDE/>
        <w:autoSpaceDN/>
        <w:bidi w:val="0"/>
        <w:spacing w:line="560" w:lineRule="exact"/>
        <w:ind w:left="0" w:firstLine="604"/>
        <w:jc w:val="both"/>
        <w:rPr>
          <w:rFonts w:ascii="方正仿宋_GBK" w:hAnsi="方正仿宋_GBK"/>
          <w:snapToGrid w:val="0"/>
        </w:rPr>
      </w:pPr>
      <w:r>
        <w:rPr>
          <w:rFonts w:hint="eastAsia" w:ascii="方正仿宋_GBK" w:hAnsi="方正仿宋_GBK"/>
          <w:snapToGrid w:val="0"/>
        </w:rPr>
        <w:t>支持内部交易及往来抵消；系统提供内部交易、内部往来余额及内部现金流</w:t>
      </w:r>
      <w:r>
        <w:rPr>
          <w:rFonts w:hint="eastAsia" w:ascii="方正仿宋_GBK" w:hAnsi="方正仿宋_GBK"/>
          <w:snapToGrid w:val="0"/>
          <w:lang w:eastAsia="zh-CN"/>
        </w:rPr>
        <w:t>对账</w:t>
      </w:r>
      <w:r>
        <w:rPr>
          <w:rFonts w:hint="eastAsia" w:ascii="方正仿宋_GBK" w:hAnsi="方正仿宋_GBK"/>
          <w:snapToGrid w:val="0"/>
        </w:rPr>
        <w:t>平台，实现自动核对及生成对账表；对账结果可直接输出成Excel格式；实现内部交易、内部往来和内部现金流系统自动抵消；实现合并现金流量表编制抵消；支持设置抵消分录模板，根据往来抵销分录模板自动生成往来类抵销分录；支持按照类别等维度对关联方交易抵消</w:t>
      </w:r>
      <w:r>
        <w:rPr>
          <w:rFonts w:hint="eastAsia" w:ascii="方正仿宋_GBK" w:hAnsi="方正仿宋_GBK"/>
          <w:snapToGrid w:val="0"/>
          <w:lang w:eastAsia="zh-CN"/>
        </w:rPr>
        <w:t>制定</w:t>
      </w:r>
      <w:r>
        <w:rPr>
          <w:rFonts w:hint="eastAsia" w:ascii="方正仿宋_GBK" w:hAnsi="方正仿宋_GBK"/>
          <w:snapToGrid w:val="0"/>
        </w:rPr>
        <w:t>自定义规则，如取大、取小、取借方、取贷方、优先取值设定或手工指定等。</w:t>
      </w:r>
    </w:p>
    <w:p>
      <w:pPr>
        <w:numPr>
          <w:ilvl w:val="0"/>
          <w:numId w:val="52"/>
        </w:numPr>
        <w:kinsoku/>
        <w:wordWrap/>
        <w:topLinePunct w:val="0"/>
        <w:autoSpaceDE/>
        <w:autoSpaceDN/>
        <w:bidi w:val="0"/>
        <w:spacing w:line="560" w:lineRule="exact"/>
        <w:ind w:left="0" w:firstLine="604"/>
        <w:jc w:val="both"/>
        <w:rPr>
          <w:rFonts w:ascii="方正仿宋_GBK" w:hAnsi="方正仿宋_GBK"/>
          <w:snapToGrid w:val="0"/>
        </w:rPr>
      </w:pPr>
      <w:r>
        <w:rPr>
          <w:rFonts w:hint="eastAsia" w:ascii="方正仿宋_GBK" w:hAnsi="方正仿宋_GBK"/>
          <w:snapToGrid w:val="0"/>
        </w:rPr>
        <w:t>支持按照最新会计准则，制定对不同会计科目采用不同汇率折算。</w:t>
      </w:r>
    </w:p>
    <w:p>
      <w:pPr>
        <w:numPr>
          <w:ilvl w:val="0"/>
          <w:numId w:val="52"/>
        </w:numPr>
        <w:kinsoku/>
        <w:wordWrap/>
        <w:topLinePunct w:val="0"/>
        <w:autoSpaceDE/>
        <w:autoSpaceDN/>
        <w:bidi w:val="0"/>
        <w:spacing w:line="560" w:lineRule="exact"/>
        <w:ind w:left="0" w:firstLine="604"/>
        <w:jc w:val="both"/>
        <w:rPr>
          <w:rFonts w:ascii="方正仿宋_GBK" w:hAnsi="方正仿宋_GBK"/>
          <w:snapToGrid w:val="0"/>
        </w:rPr>
      </w:pPr>
      <w:r>
        <w:rPr>
          <w:rFonts w:hint="eastAsia" w:ascii="方正仿宋_GBK" w:hAnsi="方正仿宋_GBK"/>
          <w:snapToGrid w:val="0"/>
        </w:rPr>
        <w:t>合并底稿及合并报告；系统需支持对外披露报表的编制，通过设置不同的合并范围完成多口径的合并计算；通过管理合并可直接抓取数据，出具各单位的管理报表；系统需提供完整的合并记录以及抵消过程，包括抵消分录和调整分录，提供合并底稿，并可以查看抵销明细数据，满足上级财务人员审核和内外部审计要求；系统需支持年度报告审计调整处理，能够考虑审计调整分录的单独列示，并有调整后审计数据、报表的单独提取及列示功能；系统需支持灵活的合并层面手工调整分录功能，修正准则差异、系统差错、会计差错等差异；支持调整分录预设模板的引入等合并事项。</w:t>
      </w:r>
    </w:p>
    <w:p>
      <w:pPr>
        <w:numPr>
          <w:ilvl w:val="0"/>
          <w:numId w:val="52"/>
        </w:numPr>
        <w:kinsoku/>
        <w:wordWrap/>
        <w:topLinePunct w:val="0"/>
        <w:autoSpaceDE/>
        <w:autoSpaceDN/>
        <w:bidi w:val="0"/>
        <w:spacing w:line="560" w:lineRule="exact"/>
        <w:ind w:left="0" w:firstLine="604"/>
        <w:jc w:val="both"/>
        <w:rPr>
          <w:rFonts w:ascii="方正仿宋_GBK" w:hAnsi="方正仿宋_GBK"/>
          <w:snapToGrid w:val="0"/>
        </w:rPr>
      </w:pPr>
      <w:r>
        <w:rPr>
          <w:rFonts w:hint="eastAsia" w:ascii="方正仿宋_GBK" w:hAnsi="方正仿宋_GBK"/>
          <w:snapToGrid w:val="0"/>
        </w:rPr>
        <w:t>系统需要提供合并报表管理状态界面，方便合并人员看到下属公司报表的提交及审核状态，提供未编制、编制中、提交、接收等报表状态指示功能。</w:t>
      </w:r>
    </w:p>
    <w:p>
      <w:pPr>
        <w:numPr>
          <w:ilvl w:val="0"/>
          <w:numId w:val="52"/>
        </w:numPr>
        <w:kinsoku/>
        <w:wordWrap/>
        <w:topLinePunct w:val="0"/>
        <w:autoSpaceDE/>
        <w:autoSpaceDN/>
        <w:bidi w:val="0"/>
        <w:spacing w:line="560" w:lineRule="exact"/>
        <w:ind w:left="0" w:firstLine="604"/>
        <w:jc w:val="both"/>
        <w:rPr>
          <w:rFonts w:ascii="方正仿宋_GBK" w:hAnsi="方正仿宋_GBK"/>
          <w:snapToGrid w:val="0"/>
        </w:rPr>
      </w:pPr>
      <w:r>
        <w:rPr>
          <w:rFonts w:hint="eastAsia" w:ascii="方正仿宋_GBK" w:hAnsi="方正仿宋_GBK"/>
          <w:snapToGrid w:val="0"/>
        </w:rPr>
        <w:t>实现Excel客户端，通过Excel，完成合并表单设计并可实现报表自由导入导出；可进行数据填制、分析及保存。</w:t>
      </w:r>
    </w:p>
    <w:p>
      <w:pPr>
        <w:pStyle w:val="7"/>
        <w:kinsoku/>
        <w:wordWrap/>
        <w:topLinePunct w:val="0"/>
        <w:autoSpaceDE/>
        <w:autoSpaceDN/>
        <w:bidi w:val="0"/>
        <w:spacing w:before="198" w:after="198" w:line="560" w:lineRule="exact"/>
        <w:rPr>
          <w:rFonts w:hint="default"/>
        </w:rPr>
      </w:pPr>
      <w:r>
        <w:t>全面预算</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全面预算需要能够满足集团管控要求，提供完善的预算体系解决方案，提供从预算目标确定与下达、预算编制与审批、预算的执行与控制、预算分析等多方面的管理活动，帮助集团增强预算管控力度，提高整体效率。</w:t>
      </w:r>
    </w:p>
    <w:p>
      <w:pPr>
        <w:numPr>
          <w:ilvl w:val="0"/>
          <w:numId w:val="53"/>
        </w:numPr>
        <w:kinsoku/>
        <w:wordWrap/>
        <w:topLinePunct w:val="0"/>
        <w:autoSpaceDE/>
        <w:autoSpaceDN/>
        <w:bidi w:val="0"/>
        <w:spacing w:line="560" w:lineRule="exact"/>
        <w:ind w:left="0" w:firstLine="604"/>
        <w:jc w:val="both"/>
        <w:rPr>
          <w:rFonts w:ascii="方正仿宋_GBK" w:hAnsi="方正仿宋_GBK"/>
          <w:snapToGrid w:val="0"/>
        </w:rPr>
      </w:pPr>
      <w:r>
        <w:rPr>
          <w:rFonts w:hint="eastAsia" w:ascii="方正仿宋_GBK" w:hAnsi="方正仿宋_GBK"/>
          <w:snapToGrid w:val="0"/>
        </w:rPr>
        <w:t>板块支持搭建多维预算体系，支持集团管控，既可以满足集中式管理型集团的应用要求，又可以实现各下属企业个性化预算体系的要求。</w:t>
      </w:r>
    </w:p>
    <w:p>
      <w:pPr>
        <w:numPr>
          <w:ilvl w:val="0"/>
          <w:numId w:val="53"/>
        </w:numPr>
        <w:kinsoku/>
        <w:wordWrap/>
        <w:topLinePunct w:val="0"/>
        <w:autoSpaceDE/>
        <w:autoSpaceDN/>
        <w:bidi w:val="0"/>
        <w:spacing w:line="560" w:lineRule="exact"/>
        <w:ind w:left="0" w:firstLine="604"/>
        <w:jc w:val="both"/>
        <w:rPr>
          <w:rFonts w:ascii="方正仿宋_GBK" w:hAnsi="方正仿宋_GBK"/>
          <w:snapToGrid w:val="0"/>
        </w:rPr>
      </w:pPr>
      <w:r>
        <w:rPr>
          <w:rFonts w:hint="eastAsia" w:ascii="方正仿宋_GBK" w:hAnsi="方正仿宋_GBK"/>
          <w:snapToGrid w:val="0"/>
        </w:rPr>
        <w:t>支持预算编制的过程管理；实现预算编制的过程管理，并且监控下级的预算编制过程；支持从集团预算目标下达、预算填报、预算数据上报、预算数据批复、数据汇总、预算数据调整等预算编制过程管理；</w:t>
      </w:r>
    </w:p>
    <w:p>
      <w:pPr>
        <w:numPr>
          <w:ilvl w:val="0"/>
          <w:numId w:val="53"/>
        </w:numPr>
        <w:kinsoku/>
        <w:wordWrap/>
        <w:topLinePunct w:val="0"/>
        <w:autoSpaceDE/>
        <w:autoSpaceDN/>
        <w:bidi w:val="0"/>
        <w:spacing w:line="560" w:lineRule="exact"/>
        <w:ind w:left="0" w:firstLine="604"/>
        <w:jc w:val="both"/>
        <w:rPr>
          <w:rFonts w:ascii="方正仿宋_GBK" w:hAnsi="方正仿宋_GBK"/>
          <w:snapToGrid w:val="0"/>
        </w:rPr>
      </w:pPr>
      <w:r>
        <w:rPr>
          <w:rFonts w:hint="eastAsia" w:ascii="方正仿宋_GBK" w:hAnsi="方正仿宋_GBK"/>
          <w:snapToGrid w:val="0"/>
        </w:rPr>
        <w:t>实现预算编制和业务财务系统的高度集成：支持预算从核算、固定资产等系统取实际发生数，实现预算系统以及核算系统的高度集成。</w:t>
      </w:r>
    </w:p>
    <w:p>
      <w:pPr>
        <w:numPr>
          <w:ilvl w:val="0"/>
          <w:numId w:val="53"/>
        </w:numPr>
        <w:kinsoku/>
        <w:wordWrap/>
        <w:topLinePunct w:val="0"/>
        <w:autoSpaceDE/>
        <w:autoSpaceDN/>
        <w:bidi w:val="0"/>
        <w:spacing w:line="560" w:lineRule="exact"/>
        <w:ind w:left="0" w:firstLine="604"/>
        <w:jc w:val="both"/>
        <w:rPr>
          <w:rFonts w:ascii="方正仿宋_GBK" w:hAnsi="方正仿宋_GBK"/>
          <w:snapToGrid w:val="0"/>
        </w:rPr>
      </w:pPr>
      <w:r>
        <w:rPr>
          <w:rFonts w:hint="eastAsia" w:ascii="方正仿宋_GBK" w:hAnsi="方正仿宋_GBK"/>
          <w:snapToGrid w:val="0"/>
        </w:rPr>
        <w:t>按照超预算后实际业务的处理方式不同，支持多种预算执行控制方式：</w:t>
      </w:r>
    </w:p>
    <w:p>
      <w:pPr>
        <w:numPr>
          <w:ilvl w:val="0"/>
          <w:numId w:val="54"/>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支持刚性控制：超过预算后不允许业务发生；</w:t>
      </w:r>
    </w:p>
    <w:p>
      <w:pPr>
        <w:numPr>
          <w:ilvl w:val="0"/>
          <w:numId w:val="54"/>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支持柔性控制：当实际发生数超过预算额度或属于预算外项目时，相应人员判断是否执行特殊审批流程，如启动特殊的审批流程，则超预算的业务单据通过特殊审批后仍可以继续发生；</w:t>
      </w:r>
    </w:p>
    <w:p>
      <w:pPr>
        <w:numPr>
          <w:ilvl w:val="0"/>
          <w:numId w:val="54"/>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支持预警性控制：在业务系统作业务单据或审批单据时，超过预算后系统只给出提示信息，业务仍可继续发生。</w:t>
      </w:r>
    </w:p>
    <w:p>
      <w:pPr>
        <w:numPr>
          <w:ilvl w:val="0"/>
          <w:numId w:val="53"/>
        </w:numPr>
        <w:kinsoku/>
        <w:wordWrap/>
        <w:topLinePunct w:val="0"/>
        <w:autoSpaceDE/>
        <w:autoSpaceDN/>
        <w:bidi w:val="0"/>
        <w:spacing w:line="560" w:lineRule="exact"/>
        <w:ind w:left="0" w:firstLine="604"/>
        <w:jc w:val="both"/>
        <w:rPr>
          <w:rFonts w:ascii="方正仿宋_GBK" w:hAnsi="方正仿宋_GBK"/>
          <w:snapToGrid w:val="0"/>
        </w:rPr>
      </w:pPr>
      <w:r>
        <w:rPr>
          <w:rFonts w:hint="eastAsia" w:ascii="方正仿宋_GBK" w:hAnsi="方正仿宋_GBK"/>
          <w:snapToGrid w:val="0"/>
        </w:rPr>
        <w:t>系统需支持预算调整流程：</w:t>
      </w:r>
    </w:p>
    <w:p>
      <w:pPr>
        <w:numPr>
          <w:ilvl w:val="0"/>
          <w:numId w:val="55"/>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支持在调整前首先执行前期数据更新，即将调整时间之间的预算数替换为实际数，并展示给用户，用户可基于更新后的预算表执行后期预算的调整；</w:t>
      </w:r>
    </w:p>
    <w:p>
      <w:pPr>
        <w:numPr>
          <w:ilvl w:val="0"/>
          <w:numId w:val="55"/>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支持调整过程中批量调增或调减数据。</w:t>
      </w:r>
    </w:p>
    <w:p>
      <w:pPr>
        <w:numPr>
          <w:ilvl w:val="0"/>
          <w:numId w:val="55"/>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支持调整过程中录入文字说明，后期进行预算调整信息查询时也支持同时查看文字说明。</w:t>
      </w:r>
    </w:p>
    <w:p>
      <w:pPr>
        <w:numPr>
          <w:ilvl w:val="0"/>
          <w:numId w:val="53"/>
        </w:numPr>
        <w:kinsoku/>
        <w:wordWrap/>
        <w:topLinePunct w:val="0"/>
        <w:autoSpaceDE/>
        <w:autoSpaceDN/>
        <w:bidi w:val="0"/>
        <w:spacing w:line="560" w:lineRule="exact"/>
        <w:ind w:left="0" w:firstLine="604"/>
        <w:jc w:val="both"/>
        <w:rPr>
          <w:rFonts w:ascii="方正仿宋_GBK" w:hAnsi="方正仿宋_GBK"/>
          <w:snapToGrid w:val="0"/>
        </w:rPr>
      </w:pPr>
      <w:r>
        <w:rPr>
          <w:rFonts w:hint="eastAsia" w:ascii="方正仿宋_GBK" w:hAnsi="方正仿宋_GBK"/>
          <w:snapToGrid w:val="0"/>
        </w:rPr>
        <w:t>支持根据不同的管理要求进行多种预算调整方式进行调整，并设置不同的管理流程；1、直接调整：调整审批的对象是整个计划表；2、调整单调整：调整审批的对象是调整单，支持根据不同的调整内容设置不同的审批流程，如只调整数据、追加项目，并支持用户自定义调整类型。3、调剂单调整：调整审批的对象是调剂单，调增和调减的合计数为 0；</w:t>
      </w:r>
    </w:p>
    <w:p>
      <w:pPr>
        <w:numPr>
          <w:ilvl w:val="0"/>
          <w:numId w:val="53"/>
        </w:numPr>
        <w:kinsoku/>
        <w:wordWrap/>
        <w:topLinePunct w:val="0"/>
        <w:autoSpaceDE/>
        <w:autoSpaceDN/>
        <w:bidi w:val="0"/>
        <w:spacing w:line="560" w:lineRule="exact"/>
        <w:ind w:left="0" w:firstLine="604"/>
        <w:jc w:val="both"/>
        <w:rPr>
          <w:rFonts w:ascii="方正仿宋_GBK" w:hAnsi="方正仿宋_GBK"/>
          <w:snapToGrid w:val="0"/>
        </w:rPr>
      </w:pPr>
      <w:r>
        <w:rPr>
          <w:rFonts w:hint="eastAsia" w:ascii="方正仿宋_GBK" w:hAnsi="方正仿宋_GBK"/>
          <w:snapToGrid w:val="0"/>
        </w:rPr>
        <w:t>支持预算的分析和执行监控；系统支持预算执行监控功能，能够从业务数据获取执行数，对业务系统进行预算控制和预警；支持预算多维分析，可以按不同的角度进行预算执行进度分析。</w:t>
      </w:r>
    </w:p>
    <w:p>
      <w:pPr>
        <w:numPr>
          <w:ilvl w:val="0"/>
          <w:numId w:val="53"/>
        </w:numPr>
        <w:kinsoku/>
        <w:wordWrap/>
        <w:topLinePunct w:val="0"/>
        <w:autoSpaceDE/>
        <w:autoSpaceDN/>
        <w:bidi w:val="0"/>
        <w:spacing w:line="560" w:lineRule="exact"/>
        <w:ind w:left="0" w:firstLine="604"/>
        <w:jc w:val="both"/>
        <w:rPr>
          <w:rFonts w:ascii="方正仿宋_GBK" w:hAnsi="方正仿宋_GBK"/>
          <w:snapToGrid w:val="0"/>
        </w:rPr>
      </w:pPr>
      <w:r>
        <w:rPr>
          <w:rFonts w:hint="eastAsia" w:ascii="方正仿宋_GBK" w:hAnsi="方正仿宋_GBK"/>
          <w:snapToGrid w:val="0"/>
        </w:rPr>
        <w:t>支持通过Excel完成表单设计；可进行数据填制；可进行预算分析，并通过系统保存分析文档。</w:t>
      </w:r>
    </w:p>
    <w:p>
      <w:pPr>
        <w:pStyle w:val="8"/>
        <w:kinsoku/>
        <w:wordWrap/>
        <w:topLinePunct w:val="0"/>
        <w:autoSpaceDE/>
        <w:autoSpaceDN/>
        <w:bidi w:val="0"/>
        <w:spacing w:before="198" w:after="198" w:line="560" w:lineRule="exact"/>
      </w:pPr>
      <w:r>
        <w:rPr>
          <w:rFonts w:hint="eastAsia"/>
        </w:rPr>
        <w:t>预算编制</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在完成所有前期的配置后，可以开始进行预算的编制，包括预算数的录入及各种计算，形成业务上需要的各类预算数据。同时该部分支持对单张预算表的各个辅助功能，同时支持批量操作。</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1.预算编制</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在设置完前面的编制准备后，通过该功能进行预算数据的系统录入，还包括对预算进行修改、计算、检查、提交审批等管理。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2.预算报表计算</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对单张或多张报表的预算数据进行批量计算，也可以计算单个组织或多个组织。</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3.预算报表汇总</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对单张或多张报表的预算数据按汇总关系定义进行汇总。</w:t>
      </w:r>
    </w:p>
    <w:p>
      <w:pPr>
        <w:pStyle w:val="8"/>
        <w:kinsoku/>
        <w:wordWrap/>
        <w:topLinePunct w:val="0"/>
        <w:autoSpaceDE/>
        <w:autoSpaceDN/>
        <w:bidi w:val="0"/>
        <w:spacing w:before="198" w:after="198" w:line="560" w:lineRule="exact"/>
      </w:pPr>
      <w:r>
        <w:rPr>
          <w:rFonts w:hint="eastAsia"/>
        </w:rPr>
        <w:t>预算执行与控制</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系统支持企业将战略目标进行量化，将战略目标确定为不同期间和阶段的任务，实现战略目标到预算指标的层层分解细化及下达。</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1.预算执行</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 xml:space="preserve">在预算完成审批后，进行执行控制环节，执行数除了可以通过控制预警中设置的从业务系统实时取数外，还可以支持手工录入和归集，并且支持对执行数的批量计算操作。同时对于已审批的预算数，可以通过相应的审批流程，进行预算调整。 </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2.预算调整</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因为预算审核或审批后，已经备案不能再直接修改预算表，如果修改预算可以通过预算的大调整和小调整的方式，预算的大调整一般调整的数据比较多，集中批量的调整，这种可以通过重新启动一个编制的流程方案来实现；小调整则发生平时的变动，由于基础指标的变动，或个别部门费用类的调整，影响的数据量少，依据调整单的方式来实现，本功能就是实现小调整的功能。</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3.预算调整汇总</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上级部门（集团）的数据是通过汇总关系汇总而来的，由于增加了部门的调整单，则这些调整的数据也要通过汇总关系反映到上级部门的报表上，则需要调整的汇总处理。</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4.预算调整更新</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增加的预算调整单或者调整汇总单，并没有实际反映到预算表中，只有审批通过后，通过本功能，将调整单或汇总单中的预算更新到实际的预算表中，调整的结果才最终有效。</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5.执行数录入</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执行数除了可以从业务系统归集外，目前系统还支持手工录入执行数，用于执行数不能自动从业务系统获取的情况。</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6.执行数归集</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前面我们定义了业务单元对应关系，对于业务系统的数据可以进行实时控制和执行数归集，但有些业务系统可能只进行归集，不进行控制，或者有些在控制启用日期范围外的业务单据也需要归集，因此系统提供了手动归集业务系统传递的执行数据功能。</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7.执行数汇总、检查</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对单张或多张报表对执行数按汇总关系进行汇总。对单张或多张报表的执行数据进行批量检查，也可以对单个组织或多个组织进行检查。</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8.归口预算调整</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前面的预算调整申请功能是针对一般的预算编制表，而本功能是针对归口编制表，以站在集团的角度来实现对下属单位某一指标的调整，但是这种集团调整下属单位的预算调整不是经常性的，下面的单位也有调整本单位预算的权限。因此本功能提供对归口编制表中某调整列进行数据调整。</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9.执行调整</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由于部分企业在归集完执行数后，也会对执行数进行调整，因此为规范执行数调整流程，系统提供调整单方式，进行执行数的调整。</w:t>
      </w:r>
    </w:p>
    <w:p>
      <w:pPr>
        <w:pStyle w:val="8"/>
        <w:kinsoku/>
        <w:wordWrap/>
        <w:topLinePunct w:val="0"/>
        <w:autoSpaceDE/>
        <w:autoSpaceDN/>
        <w:bidi w:val="0"/>
        <w:spacing w:before="198" w:after="198" w:line="560" w:lineRule="exact"/>
      </w:pPr>
      <w:r>
        <w:rPr>
          <w:rFonts w:hint="eastAsia"/>
        </w:rPr>
        <w:t>控制预警</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控制和预警是针对预算执行过程中，对整个预算进行实时监控及与业务系统进行交互的关键环节。本功能支持对预算执行的实时监控及预警，支持对业务系统的预算控制和执行归集。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1.预警类型</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定义各种预警类型，实现对整个系统的实时监控。同时该功能基本上是用来实现预警计划任务的，通过设置，可以实现定期进行预警和其他计划任务，比如汇总计算等。可以由集团组织定义，也可以由各级预算组织定义。</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2.预警通知</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定义预警类型在不同预算组织的预警通知方式。可以在上级预算组织定义下级组织的通知方式。</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3.业务控制启用</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通过对数据源定义、业务单元定义、业务对应、控制类别等进行定义。对预算的控制类别进行启用或取消启用。</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4.调整明细维度定义</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在调整单申请时，对于多维度模型调整，在显示调整项目和调整指标时，可能会不满足需求，这里提供调整明细维度定义，能够根据具体需求相应的显示调整项目和调整指标。</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5.预算调整类型定义</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定义预算数据调整的类型，主要是根据调整原因进行分类。</w:t>
      </w:r>
    </w:p>
    <w:p>
      <w:pPr>
        <w:pStyle w:val="8"/>
        <w:kinsoku/>
        <w:wordWrap/>
        <w:topLinePunct w:val="0"/>
        <w:autoSpaceDE/>
        <w:autoSpaceDN/>
        <w:bidi w:val="0"/>
        <w:spacing w:before="198" w:after="198" w:line="560" w:lineRule="exact"/>
      </w:pPr>
      <w:r>
        <w:rPr>
          <w:rFonts w:hint="eastAsia"/>
        </w:rPr>
        <w:t>预算分析</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预算管理系统支持与业务系统进行数据集成，实时进行预算控制和执行支持完成分析、差异分析、趋势分析、构成分析、对比分析、预警分析等常用分析。</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预算系统也可与BI（商业智能软件）集成，对企业进行多维度分析，通过图形展示，提供数据透视和图标的展示，使企业用户的体验更加直观、简易。</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1.完成分析</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完成分析是用户在日常操作中经常使用的一种分析方法，完成分析对选定期间内的所选预算表的所有项目的完成情况进行查询分析。查询分析条件可以按单位、分析期间等进行组合查询；分析数据包括预算数、完成数、差额、完成率，若所选的期间为一期间段，分析数据还可以包含该期间段的累计预算数、完成数、差额、完成率。</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2.任意分析</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根据任意分析定义中定义的表样格式，显示相对应任意分析数据。</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3.多维度分析</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多维分析是在日常操作中经常使用的一种分析方法，多维分析对选定期间内的预算完成情况进行任意维度的分析。分析结果应包括具体项目、预算数、完成数、差额。</w:t>
      </w:r>
    </w:p>
    <w:p>
      <w:pPr>
        <w:pStyle w:val="8"/>
        <w:kinsoku/>
        <w:wordWrap/>
        <w:topLinePunct w:val="0"/>
        <w:autoSpaceDE/>
        <w:autoSpaceDN/>
        <w:bidi w:val="0"/>
        <w:spacing w:before="198" w:after="198" w:line="560" w:lineRule="exact"/>
      </w:pPr>
      <w:r>
        <w:rPr>
          <w:rFonts w:hint="eastAsia"/>
        </w:rPr>
        <w:t>预算查询</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全面预算系统支持多种方式查询，包括编制、执行、调整、报表状态、日志等，可根据具体需求设置相应的查询条件，即可获得相应的查询结果。</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1.预算编制查询</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对于预算的编制情况进行查询。</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2.预算执行查询</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对于预算的执行情况进行查询。</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3.批量打印及导出</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由于业务上经常需要将预算表打印或导出，故系统提供对组织报表的批量打印及批量导出。</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4.预算调整查询</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对于预算同一编制方案下面不同编制活动的数据进行对比查询。</w:t>
      </w:r>
    </w:p>
    <w:p>
      <w:pPr>
        <w:pStyle w:val="7"/>
        <w:kinsoku/>
        <w:wordWrap/>
        <w:topLinePunct w:val="0"/>
        <w:autoSpaceDE/>
        <w:autoSpaceDN/>
        <w:bidi w:val="0"/>
        <w:spacing w:before="198" w:after="198" w:line="560" w:lineRule="exact"/>
        <w:rPr>
          <w:rFonts w:hint="default"/>
        </w:rPr>
      </w:pPr>
      <w:r>
        <w:t>财务共享中心</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以强化国资国企监管水平和财务转型为核心，建设统一的数据信息平台，充分发挥财务共享对基础财务核算业务的监控和指导作用，提升企业整体财务管理水平，打造业财资税一体化的应用平台，以此推动财务职能重新定位，推进“财务管理”与“会计核算”相分离，实现财务转型，通过核算集成，减少会计核算人员，提高信息传递效率，实现价值创造。财务共享平台通过财务业务操作平台进行日常核算业务处理，通过运营平台对日常工作进行考核评价、通过支撑平台进行基础信息设置。</w:t>
      </w:r>
    </w:p>
    <w:p>
      <w:pPr>
        <w:pStyle w:val="8"/>
        <w:kinsoku/>
        <w:wordWrap/>
        <w:topLinePunct w:val="0"/>
        <w:autoSpaceDE/>
        <w:autoSpaceDN/>
        <w:bidi w:val="0"/>
        <w:spacing w:before="198" w:after="198" w:line="560" w:lineRule="exact"/>
      </w:pPr>
      <w:r>
        <w:rPr>
          <w:rFonts w:hint="eastAsia"/>
        </w:rPr>
        <w:t>费用报销业务</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报账平台用于处理财务共享服务中心应用模式下的报账全业务的全过程处理。网上报账平台作为共享平台的入口，可实现所有业务单据自动进入任务池进行作业任务派单，并通过影像系统和网报的集成使用，实现报销业务流程的全电子化处理。其中报账业务类型涵盖个人费用报销、公司费用报销、应付业务报账、收款及应收业务报账、固定资产业务报账、薪酬福利业务报账等所有纳入共享业务范围的业务。在报账业务处理过程中支持报账业务多个业务节点的预算实时控制。同时，通过和影像系统的集成使用，支持全业务流程对电子影像的调阅使用，支撑财务共享服务中心模式的应用。</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通过搭建报账管理系统，将企业的费用支付数据完全电子化，利用信息技术再现原始业务活动，为每笔支出建立了单独的审计线索。</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系统支持将费用报销延伸到费用发生前的申请、审批和稽核，通过活动申请单实现费用发生的事前控制，能够根据申请审批结果对后续实际发生数进行控制，并作为后续流程的数据来源，同时通过费用预算的编制明确各个费用预算主体的责任，对报账的各个业务环节进行灵活的控制，最终达到费用发生按计划执行的目的。</w:t>
      </w:r>
    </w:p>
    <w:p>
      <w:pPr>
        <w:numPr>
          <w:ilvl w:val="0"/>
          <w:numId w:val="56"/>
        </w:numPr>
        <w:kinsoku/>
        <w:wordWrap/>
        <w:topLinePunct w:val="0"/>
        <w:autoSpaceDE/>
        <w:autoSpaceDN/>
        <w:bidi w:val="0"/>
        <w:spacing w:line="560" w:lineRule="exact"/>
        <w:ind w:left="0" w:firstLine="604"/>
        <w:jc w:val="both"/>
      </w:pPr>
      <w:r>
        <w:rPr>
          <w:rFonts w:hint="eastAsia"/>
        </w:rPr>
        <w:t>报账申请</w:t>
      </w:r>
      <w:r>
        <w:rPr>
          <w:rFonts w:hint="eastAsia" w:ascii="方正仿宋_GBK" w:hAnsi="方正仿宋_GBK"/>
          <w:snapToGrid w:val="0"/>
        </w:rPr>
        <w:t>业务</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业务申请是指员工对某一业务的申请，例如出差、大型资产采购等，这些业务一般都需要在执行完成后进行报销。系统应支持单位可以规定某些报销必须经过事前申请，在网上报账的时候，相关报销单应与业务申请单进行关联。支持公司统一设置标准单据格式以及相关参数，也可授权下属单位根据自身需求进行个性化定制。</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员工登录系统进行单据制单及提交操作，支持对私单据、对公单据的填报，直观显示本人及代报人未完成的报销、借款、业务申请单据、还款、收款、付款、资产、计提、物资等单据，单据填报时可以对报销人前期存在的借款单进行核销，单据处理过程中，支持智能审核。</w:t>
      </w:r>
    </w:p>
    <w:p>
      <w:pPr>
        <w:numPr>
          <w:ilvl w:val="0"/>
          <w:numId w:val="57"/>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员工借款</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员工借款是指单位内部员工基于业务需要，从单位暂时借出的款项，员工借款在所办业务完成后应尽快核销或者归还。</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报账系统中各种单据的格式应可灵活定义，包括借款单的样式，用户可以根据自己的需要进行定义。同时，系统中可以上传各类附件对相应的业务进行说明。员工填写借款单时，可以在页面上实时查看自己的借款信息。不同级别的员工可以设置不同的借款限额、借款次数等限制条款。</w:t>
      </w:r>
    </w:p>
    <w:p>
      <w:pPr>
        <w:numPr>
          <w:ilvl w:val="0"/>
          <w:numId w:val="57"/>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员工报销</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报账系统应可自动生成单据编号，以保证单据编号的规则性。系统通过数据查询权限做条件控制，保证业务部门的人员不能跨部门和个人的权限查询其他部门或个人的报销数据，公司财务人员或者公司高层领导可以通过权限设置查询所有人或者直管部门以及部门所属人员的数据。</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费用单据填写界面应简单明了，方便操作。系统应支持费用分摊，对于原始单据的扫描件，可以上传作为文档（包括图片）进行管理。同时系统支持差旅费、交通费、医疗费等依据员工级别进行不同的限额制定，用户在填写报销单时可以查看本部门的费用预算信息，了解还有多少报销额度等。</w:t>
      </w:r>
    </w:p>
    <w:p>
      <w:pPr>
        <w:numPr>
          <w:ilvl w:val="0"/>
          <w:numId w:val="57"/>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原件管理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纸质报账单据粘贴完成后，员工发送快递寄送给共享中心财务，需新增个人运单，填写快递信息，将单据标示为已签发。</w:t>
      </w:r>
    </w:p>
    <w:p>
      <w:pPr>
        <w:numPr>
          <w:ilvl w:val="0"/>
          <w:numId w:val="56"/>
        </w:numPr>
        <w:kinsoku/>
        <w:wordWrap/>
        <w:topLinePunct w:val="0"/>
        <w:autoSpaceDE/>
        <w:autoSpaceDN/>
        <w:bidi w:val="0"/>
        <w:spacing w:line="560" w:lineRule="exact"/>
        <w:ind w:left="0" w:firstLine="604"/>
        <w:jc w:val="both"/>
      </w:pPr>
      <w:r>
        <w:rPr>
          <w:rFonts w:hint="eastAsia"/>
        </w:rPr>
        <w:t>报账网上审批</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当单据提交后，业务初审人员对原始票据和报账单据进行核验与审查，补录必要信息，采集原始票据，确认原始票据电子影像无误后对单据进行提交，业务初审完成后，进行领导审批。业务初审内容主要包括：原始票据的真伪核验、系统单据审查、信息补录、影像采集、原始单据扫描并上传到影像系统。</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同费用预算编制审批一样，板块可以根据企业需求针对各类报销单自由设定审批流程，并实现了审批流程和即时消息之间无缝衔接。系统支持与门户系统的待办集成与移动审批，可以发送短信、邮件、微信等提醒审批人。相关领导登录系统后，待审批的报销单应可通过短消息或电子邮件的方式提醒领导进行相应的审批处理，支持授权审批、转审批和会签，不受时间和空间的限制。若审批不通过，则可支持修改或退回到填报人处进行修改。应可支持报销人随时在线查看审批状态，了解单据审批到哪个环节及审批批复的意见。</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报账管理系统支持根据是否有增值税专用发票提交给出纳员或税务人员，如是，则在财务审核前增加增值税抵扣联收取环节。</w:t>
      </w:r>
    </w:p>
    <w:p>
      <w:pPr>
        <w:numPr>
          <w:ilvl w:val="0"/>
          <w:numId w:val="56"/>
        </w:numPr>
        <w:kinsoku/>
        <w:wordWrap/>
        <w:topLinePunct w:val="0"/>
        <w:autoSpaceDE/>
        <w:autoSpaceDN/>
        <w:bidi w:val="0"/>
        <w:spacing w:line="560" w:lineRule="exact"/>
        <w:ind w:left="0" w:firstLine="604"/>
        <w:jc w:val="both"/>
      </w:pPr>
      <w:r>
        <w:rPr>
          <w:rFonts w:hint="eastAsia"/>
        </w:rPr>
        <w:t>数据看板</w:t>
      </w:r>
    </w:p>
    <w:p>
      <w:pPr>
        <w:numPr>
          <w:ilvl w:val="0"/>
          <w:numId w:val="58"/>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部门</w:t>
      </w:r>
      <w:r>
        <w:rPr>
          <w:rFonts w:hint="eastAsia" w:ascii="方正仿宋_GBK" w:hAnsi="方正仿宋_GBK"/>
          <w:snapToGrid w:val="0"/>
          <w:lang w:val="en-US" w:eastAsia="zh-CN"/>
        </w:rPr>
        <w:t>综合</w:t>
      </w:r>
      <w:r>
        <w:rPr>
          <w:rFonts w:hint="eastAsia" w:ascii="方正仿宋_GBK" w:hAnsi="方正仿宋_GBK"/>
          <w:snapToGrid w:val="0"/>
        </w:rPr>
        <w:t>数据看板</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以可视化的界面查询部门综合数据情况，例如：单据汇总笔数和金额、费用汇总、借款明细，以及部门单据发生额度排列等内容，方便领导对部门</w:t>
      </w:r>
      <w:r>
        <w:rPr>
          <w:rFonts w:hint="eastAsia" w:ascii="方正仿宋_GBK" w:hAnsi="方正仿宋_GBK"/>
          <w:snapToGrid w:val="0"/>
          <w:lang w:eastAsia="zh-CN"/>
        </w:rPr>
        <w:t>综合</w:t>
      </w:r>
      <w:r>
        <w:rPr>
          <w:rFonts w:hint="eastAsia" w:ascii="方正仿宋_GBK" w:hAnsi="方正仿宋_GBK"/>
          <w:snapToGrid w:val="0"/>
        </w:rPr>
        <w:t>数据的直观了解。</w:t>
      </w:r>
    </w:p>
    <w:p>
      <w:pPr>
        <w:numPr>
          <w:ilvl w:val="0"/>
          <w:numId w:val="58"/>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单位综合数据看板</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以可视化的界面查询单位综合数据情况，例如：单位费用汇总、借款汇总，部门费用排名、借款排名等内容，方便领导对单位</w:t>
      </w:r>
      <w:r>
        <w:rPr>
          <w:rFonts w:hint="eastAsia" w:ascii="方正仿宋_GBK" w:hAnsi="方正仿宋_GBK"/>
          <w:snapToGrid w:val="0"/>
          <w:lang w:eastAsia="zh-CN"/>
        </w:rPr>
        <w:t>综合</w:t>
      </w:r>
      <w:r>
        <w:rPr>
          <w:rFonts w:hint="eastAsia" w:ascii="方正仿宋_GBK" w:hAnsi="方正仿宋_GBK"/>
          <w:snapToGrid w:val="0"/>
        </w:rPr>
        <w:t>数据的直观了解。</w:t>
      </w:r>
    </w:p>
    <w:p>
      <w:pPr>
        <w:numPr>
          <w:ilvl w:val="0"/>
          <w:numId w:val="58"/>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部门服务</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部门领导查询指定条件的报账单据，包括对私报销单据和对公报账单据。部门领导根据分配的单位、部门权限，查询部门的报账单，其中查询界面可以自定义展示的样式，满足不同用户的查询方式及习惯。</w:t>
      </w:r>
    </w:p>
    <w:p>
      <w:pPr>
        <w:numPr>
          <w:ilvl w:val="0"/>
          <w:numId w:val="56"/>
        </w:numPr>
        <w:kinsoku/>
        <w:wordWrap/>
        <w:topLinePunct w:val="0"/>
        <w:autoSpaceDE/>
        <w:autoSpaceDN/>
        <w:bidi w:val="0"/>
        <w:spacing w:line="560" w:lineRule="exact"/>
        <w:ind w:left="0" w:firstLine="604"/>
        <w:jc w:val="both"/>
      </w:pPr>
      <w:r>
        <w:rPr>
          <w:rFonts w:hint="eastAsia"/>
        </w:rPr>
        <w:t>统计分析</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报账管理系统应提供强大的统计分析功能，一方面用户可以在报销前、中、后查询费用预算的相关情况（如费用预算编制情况、预算执行情况以及费用预算执行情况分析、各预算项目的初始额度、已完成额度、占用额度以及预算执行率等），另一方面对于报账管理系统也提供了众多查询分析，如员工费用查询、部门费用查询等。应支持每个员工随时掌握个人网上报账情况（借款余额、报销金额、还款记录、进度等），掌握单据的报销节点；各部门查询分部门费用执行情况、部门备用金占用情况等；总部汇总分析各单位、各部门的网上报账情况、资金占用情况。</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系统支持绩效分析和时效分析，支持分析报表，为多维度、全方位运营分析提供精细化支撑。</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提供预算的编制、执行情况等相关数据查询。</w:t>
      </w:r>
    </w:p>
    <w:p>
      <w:pPr>
        <w:numPr>
          <w:ilvl w:val="0"/>
          <w:numId w:val="59"/>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费用预算分析</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提供了费用预算执行情况的各种分析功能，如完成分析、差异分析、期间对比分析等。</w:t>
      </w:r>
    </w:p>
    <w:p>
      <w:pPr>
        <w:numPr>
          <w:ilvl w:val="0"/>
          <w:numId w:val="59"/>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费用单据查询</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可以查询、统计费用单据信息。</w:t>
      </w:r>
    </w:p>
    <w:p>
      <w:pPr>
        <w:numPr>
          <w:ilvl w:val="0"/>
          <w:numId w:val="59"/>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费用账查询</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可以查询、统计单位费用</w:t>
      </w:r>
      <w:r>
        <w:rPr>
          <w:rFonts w:hint="eastAsia" w:ascii="方正仿宋_GBK" w:hAnsi="方正仿宋_GBK"/>
          <w:snapToGrid w:val="0"/>
          <w:lang w:eastAsia="zh-CN"/>
        </w:rPr>
        <w:t>台账</w:t>
      </w:r>
      <w:r>
        <w:rPr>
          <w:rFonts w:hint="eastAsia" w:ascii="方正仿宋_GBK" w:hAnsi="方正仿宋_GBK"/>
          <w:snapToGrid w:val="0"/>
        </w:rPr>
        <w:t>信息。</w:t>
      </w:r>
    </w:p>
    <w:p>
      <w:pPr>
        <w:numPr>
          <w:ilvl w:val="0"/>
          <w:numId w:val="59"/>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费用查询统计分析</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可以对各类费用单据进行统计汇总。</w:t>
      </w:r>
    </w:p>
    <w:p>
      <w:pPr>
        <w:numPr>
          <w:ilvl w:val="0"/>
          <w:numId w:val="59"/>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部门借款统计分析</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用于统计各部门的借款信息。</w:t>
      </w:r>
    </w:p>
    <w:p>
      <w:pPr>
        <w:pStyle w:val="8"/>
        <w:kinsoku/>
        <w:wordWrap/>
        <w:topLinePunct w:val="0"/>
        <w:autoSpaceDE/>
        <w:autoSpaceDN/>
        <w:bidi w:val="0"/>
        <w:spacing w:before="198" w:after="198" w:line="560" w:lineRule="exact"/>
      </w:pPr>
      <w:r>
        <w:rPr>
          <w:rFonts w:hint="eastAsia"/>
        </w:rPr>
        <w:t>检查与控制</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报账管理系统应支持在业务处理的申请、审批、发生、核算等各个环节对各业务进行控制，并在超出费用预算数据时进行预算控制或预警提示，由传统的事后预算控制转变为业务的事前、事中、事后全过程控制。如报销人在进行报销单据保存时、领导在进行报销业务审批过程中，系统都可以将费用预算数同执行数进行对比检查，对于已超出预算或是将要超出预算的借款业务，系统会弹出提示信息以提醒报销人和审批领导，包含费用预算数和已发生费用，便于进行预算控制。</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应支持在单据保存时自动检查预算，如超预算则不能保存，需进行预算外审批后才能继续填报。系统支持根据权限设置，限定能查看预算的人员。在报销前，相关人员可以查询预算的执行情况，包括各预算项目的初始额度、已完成额度、占用额度以及预算执行率。</w:t>
      </w:r>
    </w:p>
    <w:p>
      <w:pPr>
        <w:pStyle w:val="8"/>
        <w:kinsoku/>
        <w:wordWrap/>
        <w:topLinePunct w:val="0"/>
        <w:autoSpaceDE/>
        <w:autoSpaceDN/>
        <w:bidi w:val="0"/>
        <w:spacing w:before="198" w:after="198" w:line="560" w:lineRule="exact"/>
      </w:pPr>
      <w:r>
        <w:rPr>
          <w:rFonts w:hint="eastAsia"/>
        </w:rPr>
        <w:t>收付款业务</w:t>
      </w:r>
    </w:p>
    <w:p>
      <w:pPr>
        <w:numPr>
          <w:ilvl w:val="0"/>
          <w:numId w:val="60"/>
        </w:numPr>
        <w:kinsoku/>
        <w:wordWrap/>
        <w:topLinePunct w:val="0"/>
        <w:autoSpaceDE/>
        <w:autoSpaceDN/>
        <w:bidi w:val="0"/>
        <w:spacing w:line="560" w:lineRule="exact"/>
        <w:ind w:left="0" w:firstLine="604"/>
        <w:jc w:val="both"/>
        <w:rPr>
          <w:rFonts w:ascii="方正仿宋_GBK" w:hAnsi="方正仿宋_GBK"/>
          <w:snapToGrid w:val="0"/>
        </w:rPr>
      </w:pPr>
      <w:r>
        <w:rPr>
          <w:rFonts w:hint="eastAsia" w:ascii="方正仿宋_GBK" w:hAnsi="方正仿宋_GBK"/>
          <w:snapToGrid w:val="0"/>
        </w:rPr>
        <w:t>付款业务</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对于已经审批通过并且财务稽核完毕的借款单据、报销单据，财务人员需要根据单据上的支付方式作支付处理。对通过银行支付的费用单据，报账管理系统能够与资金系统无缝集成，发送银企直连进行不落地处理，同时对支付的款项基于资金预算进行控制并通过系统接口自动在账务系统中生成记账凭证，实现自动清帐功能。系统可以提供借款单据的支付信息，导出Excel文件功能，以便出纳提供给银行或支付系统导入使用。</w:t>
      </w:r>
      <w:bookmarkStart w:id="188" w:name="_Hlk90213218"/>
    </w:p>
    <w:bookmarkEnd w:id="188"/>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系统应提供付款办理和办理确认完成两个功能，便于出纳人员方便查询哪些单据是待付款的，哪些单据时已经付款完毕，流程更加合理化。</w:t>
      </w:r>
    </w:p>
    <w:p>
      <w:pPr>
        <w:numPr>
          <w:ilvl w:val="0"/>
          <w:numId w:val="60"/>
        </w:numPr>
        <w:kinsoku/>
        <w:wordWrap/>
        <w:topLinePunct w:val="0"/>
        <w:autoSpaceDE/>
        <w:autoSpaceDN/>
        <w:bidi w:val="0"/>
        <w:spacing w:line="560" w:lineRule="exact"/>
        <w:ind w:left="0" w:firstLine="604"/>
        <w:jc w:val="both"/>
        <w:rPr>
          <w:rFonts w:ascii="方正仿宋_GBK" w:hAnsi="方正仿宋_GBK"/>
          <w:snapToGrid w:val="0"/>
        </w:rPr>
      </w:pPr>
      <w:r>
        <w:rPr>
          <w:rFonts w:hint="eastAsia" w:ascii="方正仿宋_GBK" w:hAnsi="方正仿宋_GBK"/>
          <w:snapToGrid w:val="0"/>
        </w:rPr>
        <w:t>收款业务</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收款业务管理主要是实现对银行收款及承兑汇票等单据的处理。若有银行收款的电子信息则直接导入共享平台，根据收款业务明细分发给对应的单位，由其发起收款申请；若无电子信息，则直接由业务人员发起收款业务申请。提交申请后经过逐层审批，从而收取客户支付的款项并核销相应的收款单据，实现收款申请、审批、凭证生成和查询等功能。</w:t>
      </w:r>
    </w:p>
    <w:p>
      <w:pPr>
        <w:numPr>
          <w:ilvl w:val="0"/>
          <w:numId w:val="60"/>
        </w:numPr>
        <w:kinsoku/>
        <w:wordWrap/>
        <w:topLinePunct w:val="0"/>
        <w:autoSpaceDE/>
        <w:autoSpaceDN/>
        <w:bidi w:val="0"/>
        <w:spacing w:line="560" w:lineRule="exact"/>
        <w:ind w:left="0" w:firstLine="604"/>
        <w:jc w:val="both"/>
        <w:rPr>
          <w:rFonts w:ascii="方正仿宋_GBK" w:hAnsi="方正仿宋_GBK"/>
          <w:snapToGrid w:val="0"/>
        </w:rPr>
      </w:pPr>
      <w:r>
        <w:rPr>
          <w:rFonts w:hint="eastAsia" w:ascii="方正仿宋_GBK" w:hAnsi="方正仿宋_GBK"/>
          <w:snapToGrid w:val="0"/>
        </w:rPr>
        <w:t>资金收付款认领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提供资金收付款的认领核销服务，并可与OA、网报、销售、合同等系统集成，实现收付款资源集中化、认领入口统一化、认领流程标准化。付款中心提供标准付款接口，可以接受从企业其他系统传输的付款单据，根据需要进行资金系统内部复核流程或直接发送银行进行付款；而银行代扣等未在系统中发起的付款业务也可在付款中心中认领。而收款中心提供了标准收款通知接口，并可以按照指定的认领规则进行系统自动认领，满足收款认领的易用性、可靠性和准确性，实现业务资金的高度一体化。</w:t>
      </w:r>
    </w:p>
    <w:p>
      <w:pPr>
        <w:pStyle w:val="8"/>
        <w:kinsoku/>
        <w:wordWrap/>
        <w:topLinePunct w:val="0"/>
        <w:autoSpaceDE/>
        <w:autoSpaceDN/>
        <w:bidi w:val="0"/>
        <w:spacing w:before="198" w:after="198" w:line="560" w:lineRule="exact"/>
      </w:pPr>
      <w:r>
        <w:rPr>
          <w:rFonts w:hint="eastAsia"/>
        </w:rPr>
        <w:t>单据收件业务</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实现纸质单据的流转过程跟踪，实现单据收件、分发、确认、处理、归档保存等环节的记录，并根据流转过程查询业务处理情况。</w:t>
      </w:r>
    </w:p>
    <w:p>
      <w:pPr>
        <w:pStyle w:val="8"/>
        <w:kinsoku/>
        <w:wordWrap/>
        <w:topLinePunct w:val="0"/>
        <w:autoSpaceDE/>
        <w:autoSpaceDN/>
        <w:bidi w:val="0"/>
        <w:spacing w:before="198" w:after="198" w:line="560" w:lineRule="exact"/>
      </w:pPr>
      <w:bookmarkStart w:id="189" w:name="_Toc499746249"/>
      <w:r>
        <w:rPr>
          <w:rFonts w:hint="eastAsia"/>
        </w:rPr>
        <w:t>关联交易</w:t>
      </w:r>
      <w:bookmarkEnd w:id="189"/>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实现集团各单位间发生业务往来时的关联交易的管理，对交易双方的业务处理流程进行关联处理。</w:t>
      </w:r>
    </w:p>
    <w:p>
      <w:pPr>
        <w:pStyle w:val="8"/>
        <w:kinsoku/>
        <w:wordWrap/>
        <w:topLinePunct w:val="0"/>
        <w:autoSpaceDE/>
        <w:autoSpaceDN/>
        <w:bidi w:val="0"/>
        <w:spacing w:before="198" w:after="198" w:line="560" w:lineRule="exact"/>
      </w:pPr>
      <w:r>
        <w:rPr>
          <w:rFonts w:hint="eastAsia"/>
        </w:rPr>
        <w:t>影像管理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应提供与影像系统的接口，可以在未来与影像系统对接，实现财务共享平台原始单据影像采集、展现、存储、处理、调阅等功能。支持通过扫描仪、移动终端等设备实现电子影像采集，利用OCR技术，在保证识别准确率的前提下，对影像特定区域和字段进行自动识别并存储，为后续的业务流程处理提供依据。</w:t>
      </w:r>
    </w:p>
    <w:p>
      <w:pPr>
        <w:pStyle w:val="8"/>
        <w:kinsoku/>
        <w:wordWrap/>
        <w:topLinePunct w:val="0"/>
        <w:autoSpaceDE/>
        <w:autoSpaceDN/>
        <w:bidi w:val="0"/>
        <w:spacing w:before="198" w:after="198" w:line="560" w:lineRule="exact"/>
      </w:pPr>
      <w:bookmarkStart w:id="190" w:name="_Toc499746255"/>
      <w:r>
        <w:rPr>
          <w:rFonts w:hint="eastAsia"/>
        </w:rPr>
        <w:t>财务资料管理</w:t>
      </w:r>
      <w:bookmarkEnd w:id="190"/>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实现将凭证号、归档号、影像文件、签审信息等进行匹配，分类保存并生成完整的电子档案数据。</w:t>
      </w:r>
    </w:p>
    <w:p>
      <w:pPr>
        <w:pStyle w:val="8"/>
        <w:kinsoku/>
        <w:wordWrap/>
        <w:topLinePunct w:val="0"/>
        <w:autoSpaceDE/>
        <w:autoSpaceDN/>
        <w:bidi w:val="0"/>
        <w:spacing w:before="198" w:after="198" w:line="560" w:lineRule="exact"/>
      </w:pPr>
      <w:bookmarkStart w:id="191" w:name="_Toc499746256"/>
      <w:r>
        <w:rPr>
          <w:rFonts w:hint="eastAsia"/>
        </w:rPr>
        <w:t>移动应用</w:t>
      </w:r>
      <w:bookmarkEnd w:id="191"/>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系统应支持移动应用，可以通过APP、微信等手机登录方式进行填报单据、领导审批、查询报销进度。</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员工可以通过手机填制报销单，同时可以随时随地通过手机查看报销单据状态，了解报销进度。需要审批的单据会通过微信、邮件等形式发送到审批人处进行提醒。领导审批不再受时间和地域的限制，只要有网络或者借助于智能终端，不管身处何地，即使是在出差路上也可进行单据审批。审批过程中可以随时查看相关的预算及网上报账情况。</w:t>
      </w:r>
    </w:p>
    <w:p>
      <w:pPr>
        <w:pStyle w:val="8"/>
        <w:kinsoku/>
        <w:wordWrap/>
        <w:topLinePunct w:val="0"/>
        <w:autoSpaceDE/>
        <w:autoSpaceDN/>
        <w:bidi w:val="0"/>
        <w:spacing w:before="198" w:after="198" w:line="560" w:lineRule="exact"/>
      </w:pPr>
      <w:bookmarkStart w:id="192" w:name="_Toc499746259"/>
      <w:r>
        <w:rPr>
          <w:rFonts w:hint="eastAsia"/>
        </w:rPr>
        <w:t>文档发布管理</w:t>
      </w:r>
      <w:bookmarkEnd w:id="192"/>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将财务共享平台相关的通告、规章制度、操作说明等文件在系统进行发布及更新。</w:t>
      </w:r>
    </w:p>
    <w:p>
      <w:pPr>
        <w:pStyle w:val="8"/>
        <w:kinsoku/>
        <w:wordWrap/>
        <w:topLinePunct w:val="0"/>
        <w:autoSpaceDE/>
        <w:autoSpaceDN/>
        <w:bidi w:val="0"/>
        <w:spacing w:before="198" w:after="198" w:line="560" w:lineRule="exact"/>
      </w:pPr>
      <w:r>
        <w:rPr>
          <w:rFonts w:hint="eastAsia"/>
        </w:rPr>
        <w:t>财务共享服务</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财务共享中心运营支撑平台主要对共享中心基础组织信息和基础业务信息等进行管理，包括共享中心建立和维护、共享中心参数定义、共享中心用户和岗位以及权限的管理。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1.共享服务定义</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通过设置共享中心与行政单位的对应关系，来决定核算单位的业务分配到哪个共享中心来处理，一个核算单位只能归属于一个共享中心。如果共享中心服务定义中有正在处理的单据的核算组织，则不能从共享中心服务定义中删除</w:t>
      </w:r>
      <w:r>
        <w:rPr>
          <w:rFonts w:hint="eastAsia" w:ascii="方正仿宋_GBK" w:hAnsi="方正仿宋_GBK"/>
          <w:snapToGrid w:val="0"/>
          <w:lang w:eastAsia="zh-CN"/>
        </w:rPr>
        <w:t>该</w:t>
      </w:r>
      <w:r>
        <w:rPr>
          <w:rFonts w:hint="eastAsia" w:ascii="方正仿宋_GBK" w:hAnsi="方正仿宋_GBK"/>
          <w:snapToGrid w:val="0"/>
        </w:rPr>
        <w:t>核算组织。本功能由系统管理员统一设置。</w:t>
      </w:r>
    </w:p>
    <w:p>
      <w:pPr>
        <w:numPr>
          <w:ilvl w:val="0"/>
          <w:numId w:val="61"/>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业务组定义</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共享中心所服务的业务范围一般较广，为了业务处理的精细化、规范化及专业化共享中心在业务处理时一般是分业务组进行的，同时可以根据业务组定义共享中心业务处理规则及后续的质量管理，统计分析，绩效考核等。</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共享中心业务组可以分级定义，同时可以指定业务组的负责人方便组内任务管理（分配，调整，取回）及人员考核等。业务组在定义时支持按照共享中心权限来定义，业务组支持增加、删除、修改，但若有操作人员及待办任务，则不允许删除。</w:t>
      </w:r>
    </w:p>
    <w:p>
      <w:pPr>
        <w:numPr>
          <w:ilvl w:val="0"/>
          <w:numId w:val="61"/>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作业人员定义</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通过操作用户和共享中心的业务组建立关联实现共享中心的人员管理，只有属于共享中心的用户才能使用共享中心的业务操作平台，同时约定一个用户只能属于一个共享中心的业务组。</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另外任务管理（分配、取回、调整）中所涉及的人员范围是通过业务组来确定的，即具有某个业务组的管理权限就可以管理业务组内的所有人员的任务。</w:t>
      </w:r>
    </w:p>
    <w:p>
      <w:pPr>
        <w:numPr>
          <w:ilvl w:val="0"/>
          <w:numId w:val="61"/>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单据类型分组</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细化共享中心控制，可以将某类报销单据分为多种业务类型，便于共享中心稽核人员业务处理。例如差旅费报销单分为国内国外不同的业务类型，系统根据稽核人的业务类型权限、业务组定义，针对业务类型的设置，进行单据的分配。</w:t>
      </w:r>
    </w:p>
    <w:p>
      <w:pPr>
        <w:numPr>
          <w:ilvl w:val="0"/>
          <w:numId w:val="61"/>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单据类型设置</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由于共享中心涉及的业务范围较广，业务流程较多，每种单据类型所服务的业务领域在管理中流程并不统一，所以共享中心提供按照共享中心和单据类型两个维度来进行单据的基本设置。</w:t>
      </w:r>
    </w:p>
    <w:p>
      <w:pPr>
        <w:numPr>
          <w:ilvl w:val="0"/>
          <w:numId w:val="61"/>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财务共享初始导航</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该功能用于财务共享关键应用初始导航，帮助实施人员设置系统基本数据，包括基础设置、表单定义、报账设置、服务定义、流程定义。</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2.报账设置</w:t>
      </w:r>
    </w:p>
    <w:p>
      <w:pPr>
        <w:numPr>
          <w:ilvl w:val="0"/>
          <w:numId w:val="62"/>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报销类型定义</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用户可以根据企业需要自定义多种类型的报销单，并在此定义报销类型单据的基本参数，包括是否关联事先申请、申请类型、固定费用项目，生效时限等。</w:t>
      </w:r>
    </w:p>
    <w:p>
      <w:pPr>
        <w:numPr>
          <w:ilvl w:val="0"/>
          <w:numId w:val="62"/>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申请类型定义</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用户可以根据企业需要自定义多种类型的申请单，并在此定义申请类单据的基本参数，包括固定费用项目、冲销方式、是否一事一清、申请金额控制、业务分类、生效时限等。</w:t>
      </w:r>
    </w:p>
    <w:p>
      <w:pPr>
        <w:numPr>
          <w:ilvl w:val="0"/>
          <w:numId w:val="62"/>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借款类型定义</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用户可以根据企业需要自定义借款类单据，并在此定义借款类单据的基本参数，包括是否借款/事先申请、申请类型、固定费用项目等。</w:t>
      </w:r>
    </w:p>
    <w:p>
      <w:pPr>
        <w:numPr>
          <w:ilvl w:val="0"/>
          <w:numId w:val="62"/>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还款类型定义</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用户可以根据企业需要自定义还款类单据，并在此定义还款类单据的基本参数，包括凭证业务定义、借款核销范围等。</w:t>
      </w:r>
    </w:p>
    <w:p>
      <w:pPr>
        <w:numPr>
          <w:ilvl w:val="0"/>
          <w:numId w:val="62"/>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报账类型定义</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用户可以根据企业需要自定义多种类型的报账单，也可以引入预制的单据类型，并在此定义报账类型单据的基本参数。</w:t>
      </w:r>
    </w:p>
    <w:p>
      <w:pPr>
        <w:numPr>
          <w:ilvl w:val="0"/>
          <w:numId w:val="62"/>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借款核销控制</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设置各类借款单据的借款控制及核销控制。支持借款控制方式、超期控制、提醒方式的设置；支持核销单据类型、是否强制还款、强制还款天数等参数的控制。</w:t>
      </w:r>
    </w:p>
    <w:p>
      <w:pPr>
        <w:numPr>
          <w:ilvl w:val="0"/>
          <w:numId w:val="62"/>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跨组织报账设置</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行政组织与核算组织不一致时，通过跨组织报账设置，实现跨组织入账。界面左侧为核算组织，右侧设置可以在核算组织入账的行政组织。</w:t>
      </w:r>
    </w:p>
    <w:p>
      <w:pPr>
        <w:numPr>
          <w:ilvl w:val="0"/>
          <w:numId w:val="62"/>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部门限制费用</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针对管理比较细致的情况，设置每个部门使用的费用项目，设置完成后，员工报销制单时，仅能选择本部门权限范围内的费用项目，不能看到其他费用项目。</w:t>
      </w:r>
    </w:p>
    <w:p>
      <w:pPr>
        <w:numPr>
          <w:ilvl w:val="0"/>
          <w:numId w:val="62"/>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报销委托管理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管理员可以进行代报销的设置，根据单据的类型进行委托的设置。为一个部门的用户批量设置委托，支持全员委托。</w:t>
      </w:r>
    </w:p>
    <w:p>
      <w:pPr>
        <w:numPr>
          <w:ilvl w:val="0"/>
          <w:numId w:val="62"/>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报销账户管理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管理员统一进行员工账户的维护，在代报销等情况下，当员工没有操作用户时，选择某位员工，可以自动带出银行账号。</w:t>
      </w:r>
    </w:p>
    <w:p>
      <w:pPr>
        <w:numPr>
          <w:ilvl w:val="0"/>
          <w:numId w:val="62"/>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报账功能说明</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开发人员对单据和功能进行说明填写，用于实施人员查看，实施人员也可以自定义说明。</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3.限额标准</w:t>
      </w:r>
    </w:p>
    <w:p>
      <w:pPr>
        <w:numPr>
          <w:ilvl w:val="0"/>
          <w:numId w:val="63"/>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限额标准定义</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根据企业要求，是否进行限额的控制，限额是单位对报销金额的一个量化的规定，通过设定定额标准，实现限额控制。系统预制五类限额标准，包括：伙食补助标准、交通席坐等级标准、交通限额、差旅补助标准、淡旺季住宿标准。</w:t>
      </w:r>
    </w:p>
    <w:p>
      <w:pPr>
        <w:numPr>
          <w:ilvl w:val="0"/>
          <w:numId w:val="63"/>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公共限额标准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根据企业要求，对集团及下属单位设置限额标准，一般包括差旅费补助限额、通讯费限额、借款限额等限额标准的控制，定义控制周期以及累计周期，也可以按照职务与部门进行金额的控制。与限额项目配合使用，用限额项目选择控制单据上的哪个金额或者日期字段。</w:t>
      </w:r>
    </w:p>
    <w:p>
      <w:pPr>
        <w:numPr>
          <w:ilvl w:val="0"/>
          <w:numId w:val="63"/>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单位限额标准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根据企业要求，对下属单位设置限额标准，一般包括差旅费补助限额、通讯费限额、借款限额等限额标准的控制，定义控制周期以及累计周期，也可以按照职务与部门进行金额的控制。与限额项目配合使用，用限额项目选择控制单据上的哪个金额或者日期字段。</w:t>
      </w:r>
    </w:p>
    <w:p>
      <w:pPr>
        <w:numPr>
          <w:ilvl w:val="0"/>
          <w:numId w:val="63"/>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借款限额定义</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根据企业要求进行借款限额的控制，包括控制方式、限额方式、单位范围等。</w:t>
      </w:r>
    </w:p>
    <w:p>
      <w:pPr>
        <w:numPr>
          <w:ilvl w:val="0"/>
          <w:numId w:val="63"/>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公共借款限额</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根据企业要求，对集团及下属单位设置公共借款限额维度下限额明细的设置。</w:t>
      </w:r>
    </w:p>
    <w:p>
      <w:pPr>
        <w:numPr>
          <w:ilvl w:val="0"/>
          <w:numId w:val="63"/>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单位借款限额</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根据企业要求，对下属单位设置单位借款限额维度下限额明细的设置。</w:t>
      </w:r>
    </w:p>
    <w:p>
      <w:pPr>
        <w:pStyle w:val="8"/>
        <w:kinsoku/>
        <w:wordWrap/>
        <w:topLinePunct w:val="0"/>
        <w:autoSpaceDE/>
        <w:autoSpaceDN/>
        <w:bidi w:val="0"/>
        <w:spacing w:before="198" w:after="198" w:line="560" w:lineRule="exact"/>
      </w:pPr>
      <w:r>
        <w:rPr>
          <w:rFonts w:hint="eastAsia"/>
        </w:rPr>
        <w:t>业务处理</w:t>
      </w:r>
      <w:r>
        <w:t>服务</w:t>
      </w:r>
    </w:p>
    <w:p>
      <w:pPr>
        <w:numPr>
          <w:ilvl w:val="0"/>
          <w:numId w:val="64"/>
        </w:numPr>
        <w:kinsoku/>
        <w:wordWrap/>
        <w:topLinePunct w:val="0"/>
        <w:autoSpaceDE/>
        <w:autoSpaceDN/>
        <w:bidi w:val="0"/>
        <w:spacing w:line="560" w:lineRule="exact"/>
        <w:ind w:left="0" w:firstLine="604"/>
        <w:jc w:val="both"/>
      </w:pPr>
      <w:r>
        <w:rPr>
          <w:rFonts w:hint="eastAsia"/>
        </w:rPr>
        <w:t>财务稽核</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财务稽核工作主要是针对已经通过领导审批过的单据。主要审查的是系统中填写的单据详情与提交人实际送交的发票是否吻合，包括金额、票据张数等。从任务池中提单。采用任务池方式时，稽核岗按照提单规则从任务池中提取单据进行稽核处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系统中财务稽核界面与业务申请或报销单的格式应分开定义，确保财务稽核人员能够对出差天数、补助等相关信息进行计算和修改。</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同时，财务出纳人员在稽核界面可以选择“借款核销”功能，方便查询该人员是否有借款记录，并选择相应的借款单号，核销历史借款记录。</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原始报销单据的稽核检查：系统在电子报销单据中应提供附件上传功能，报销人员可以将原始报销单据进行扫描或是拍照，形成文件作为电子报销单据的附件进行上传。领导在审批单据时，可以查阅相应的附件单据，财务稽核岗人员对报销单据可做现场的检查和稽核。</w:t>
      </w:r>
    </w:p>
    <w:p>
      <w:pPr>
        <w:numPr>
          <w:ilvl w:val="0"/>
          <w:numId w:val="64"/>
        </w:numPr>
        <w:kinsoku/>
        <w:wordWrap/>
        <w:topLinePunct w:val="0"/>
        <w:autoSpaceDE/>
        <w:autoSpaceDN/>
        <w:bidi w:val="0"/>
        <w:spacing w:line="560" w:lineRule="exact"/>
        <w:ind w:left="0" w:firstLine="604"/>
        <w:jc w:val="both"/>
      </w:pPr>
      <w:r>
        <w:rPr>
          <w:rFonts w:hint="eastAsia"/>
        </w:rPr>
        <w:t>财务复核</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为了进一步确保单据信息的规范性、有效性和原始票据的合法性，可以增加复核岗位</w:t>
      </w:r>
      <w:r>
        <w:rPr>
          <w:rFonts w:hint="eastAsia" w:ascii="方正仿宋_GBK" w:hAnsi="方正仿宋_GBK"/>
          <w:snapToGrid w:val="0"/>
          <w:lang w:eastAsia="zh-CN"/>
        </w:rPr>
        <w:t>（</w:t>
      </w:r>
      <w:r>
        <w:rPr>
          <w:rFonts w:hint="eastAsia" w:ascii="方正仿宋_GBK" w:hAnsi="方正仿宋_GBK"/>
          <w:snapToGrid w:val="0"/>
        </w:rPr>
        <w:t>可选)，复核人员通过此功能进行业务处理。单据复核能够按照授权复核“某几类业务”（业务类型权限）和“某些单位”（业务单位权限）的报账单，实现分权业务单据处理。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复核岗在复核完成后可以根据业务需要自动生成准凭证。单据复核退回时退到稽核节点，并且形成新的稽核任务，新的稽核任务默认处理人为当前单据的前稽核人员。</w:t>
      </w:r>
    </w:p>
    <w:p>
      <w:pPr>
        <w:numPr>
          <w:ilvl w:val="0"/>
          <w:numId w:val="64"/>
        </w:numPr>
        <w:kinsoku/>
        <w:wordWrap/>
        <w:topLinePunct w:val="0"/>
        <w:autoSpaceDE/>
        <w:autoSpaceDN/>
        <w:bidi w:val="0"/>
        <w:spacing w:line="560" w:lineRule="exact"/>
        <w:ind w:left="0" w:firstLine="604"/>
        <w:jc w:val="both"/>
      </w:pPr>
      <w:r>
        <w:rPr>
          <w:rFonts w:hint="eastAsia"/>
        </w:rPr>
        <w:t>支付业务</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需要进行对私或对公支付的单据，通过和资金支付系统的关联应用，在财务稽核完成后自动发送付款信息到资金支付系统并自动生成支付单据，完成付款的业务办理。</w:t>
      </w:r>
    </w:p>
    <w:p>
      <w:pPr>
        <w:numPr>
          <w:ilvl w:val="0"/>
          <w:numId w:val="64"/>
        </w:numPr>
        <w:kinsoku/>
        <w:wordWrap/>
        <w:topLinePunct w:val="0"/>
        <w:autoSpaceDE/>
        <w:autoSpaceDN/>
        <w:bidi w:val="0"/>
        <w:spacing w:line="560" w:lineRule="exact"/>
        <w:ind w:left="0" w:firstLine="604"/>
        <w:jc w:val="both"/>
      </w:pPr>
      <w:r>
        <w:rPr>
          <w:rFonts w:hint="eastAsia"/>
        </w:rPr>
        <w:t>凭证生成</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准凭证生成可以定义为在稽核、复核环节自动生成，也可以由核算岗（凭证制单岗）根据已经稽核、复核的单据生成准凭证。是否需要准凭证生成环节可以通过定义实现。准凭证审核后，自动形成财务系统的正式凭证。</w:t>
      </w:r>
    </w:p>
    <w:p>
      <w:pPr>
        <w:pStyle w:val="7"/>
        <w:kinsoku/>
        <w:wordWrap/>
        <w:topLinePunct w:val="0"/>
        <w:autoSpaceDE/>
        <w:autoSpaceDN/>
        <w:bidi w:val="0"/>
        <w:spacing w:before="198" w:after="198" w:line="560" w:lineRule="exact"/>
        <w:rPr>
          <w:rFonts w:hint="default"/>
        </w:rPr>
      </w:pPr>
      <w:r>
        <w:t>员工信用管理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在集团企业共享中心建设过程中，使用信用管理功能，对员工日常单据填报、发票提交等行为进行信用记录。员工信用数据为集团企业数据分析提供数据支撑，同时企业可以根据自身情况，对信用高低的员工制定奖惩制度，加强管控，通过不断优化，完善共享中心运营。</w:t>
      </w:r>
    </w:p>
    <w:p>
      <w:pPr>
        <w:pStyle w:val="8"/>
        <w:kinsoku/>
        <w:wordWrap/>
        <w:topLinePunct w:val="0"/>
        <w:autoSpaceDE/>
        <w:autoSpaceDN/>
        <w:bidi w:val="0"/>
        <w:spacing w:before="198" w:after="198" w:line="560" w:lineRule="exact"/>
      </w:pPr>
      <w:r>
        <w:rPr>
          <w:rFonts w:hint="eastAsia"/>
        </w:rPr>
        <w:t>信用等级</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制定共享中心信用管理的等级，可以按照英文字母制定，同时设置每一个等级对应的分数范围，例如，信用等级最高的S等级，需要员工信用的分数95-100分。</w:t>
      </w:r>
    </w:p>
    <w:p>
      <w:pPr>
        <w:pStyle w:val="8"/>
        <w:kinsoku/>
        <w:wordWrap/>
        <w:topLinePunct w:val="0"/>
        <w:autoSpaceDE/>
        <w:autoSpaceDN/>
        <w:bidi w:val="0"/>
        <w:spacing w:before="198" w:after="198" w:line="560" w:lineRule="exact"/>
      </w:pPr>
      <w:r>
        <w:rPr>
          <w:rFonts w:hint="eastAsia"/>
        </w:rPr>
        <w:t>信用项目</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制定信用管理过程中的项目，制定员工在业务处理过程中的加分项和减分项，每一项对应的分值，例如：发生员工提供假发票，或者单据信息金额有误等项目，要给此员工扣除相应的信用分值。</w:t>
      </w:r>
    </w:p>
    <w:p>
      <w:pPr>
        <w:pStyle w:val="8"/>
        <w:kinsoku/>
        <w:wordWrap/>
        <w:topLinePunct w:val="0"/>
        <w:autoSpaceDE/>
        <w:autoSpaceDN/>
        <w:bidi w:val="0"/>
        <w:spacing w:before="198" w:after="198" w:line="560" w:lineRule="exact"/>
      </w:pPr>
      <w:r>
        <w:rPr>
          <w:rFonts w:hint="eastAsia"/>
        </w:rPr>
        <w:t>信用管理查询</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查询统计员工的信用情况，可以按照组织、员工、信用等级等多种组合条件查询，支持导出统计结果。</w:t>
      </w:r>
    </w:p>
    <w:p>
      <w:pPr>
        <w:pStyle w:val="8"/>
        <w:kinsoku/>
        <w:wordWrap/>
        <w:topLinePunct w:val="0"/>
        <w:autoSpaceDE/>
        <w:autoSpaceDN/>
        <w:bidi w:val="0"/>
        <w:spacing w:before="198" w:after="198" w:line="560" w:lineRule="exact"/>
      </w:pPr>
      <w:r>
        <w:rPr>
          <w:rFonts w:hint="eastAsia"/>
        </w:rPr>
        <w:t>信用调整</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员工信用达到降级标准后，系统会自动进行降级。员工信用达到升级条件后，需要由信用管理人员统一填制信用调整申请单，经领导审批通过，再调整升级升效。</w:t>
      </w:r>
    </w:p>
    <w:p>
      <w:pPr>
        <w:pStyle w:val="6"/>
        <w:kinsoku/>
        <w:wordWrap/>
        <w:topLinePunct w:val="0"/>
        <w:autoSpaceDE/>
        <w:autoSpaceDN/>
        <w:bidi w:val="0"/>
        <w:spacing w:before="198" w:after="198" w:line="560" w:lineRule="exact"/>
      </w:pPr>
      <w:bookmarkStart w:id="193" w:name="_Toc20367"/>
      <w:bookmarkStart w:id="194" w:name="_Toc12245"/>
      <w:bookmarkStart w:id="195" w:name="_Toc13960"/>
      <w:r>
        <w:rPr>
          <w:rFonts w:hint="eastAsia"/>
        </w:rPr>
        <w:t>数智化人力资源</w:t>
      </w:r>
      <w:bookmarkEnd w:id="193"/>
      <w:bookmarkEnd w:id="194"/>
      <w:bookmarkEnd w:id="195"/>
    </w:p>
    <w:p>
      <w:pPr>
        <w:kinsoku/>
        <w:wordWrap/>
        <w:topLinePunct w:val="0"/>
        <w:autoSpaceDE/>
        <w:autoSpaceDN/>
        <w:bidi w:val="0"/>
        <w:spacing w:line="560" w:lineRule="exact"/>
        <w:ind w:firstLine="604"/>
        <w:rPr>
          <w:rFonts w:ascii="方正仿宋_GBK" w:hAnsi="方正仿宋_GBK"/>
          <w:snapToGrid w:val="0"/>
          <w:spacing w:val="10"/>
        </w:rPr>
      </w:pPr>
      <w:r>
        <w:rPr>
          <w:rFonts w:hint="eastAsia" w:ascii="方正仿宋_GBK" w:hAnsi="方正仿宋_GBK"/>
          <w:snapToGrid w:val="0"/>
        </w:rPr>
        <w:t>人力资源管理系统实现员工全生命周期管理，实时回溯；实时获取其他业务系统数据，满足薪资计算、绩效考核的需求，实现业务人力一体化、人力系统自动化。包括组织管理、招聘管理、人事管理、培训管理、学习平台、时间管理、社保福利、绩效管理、薪酬总额控制等。</w:t>
      </w:r>
    </w:p>
    <w:p>
      <w:pPr>
        <w:pStyle w:val="7"/>
        <w:kinsoku/>
        <w:wordWrap/>
        <w:topLinePunct w:val="0"/>
        <w:autoSpaceDE/>
        <w:autoSpaceDN/>
        <w:bidi w:val="0"/>
        <w:spacing w:before="198" w:after="198" w:line="560" w:lineRule="exact"/>
        <w:rPr>
          <w:rFonts w:hint="default"/>
        </w:rPr>
      </w:pPr>
      <w:r>
        <w:t>组织管理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满足集团对分子公司的管理，又能够实现公司级组织体系的管理，管理范围根据使用者的权限设置不同可以从集团、公司到最明细的部门，为员工管理、薪酬管理、绩效管理等人力资源自身业务，以及财务、OA等关联业务的信息化应用提供基础架构数据。</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主要包括组织机构管理的新增、修改、合并、调整、记录和查询等功能、生成组织机构图、职务及职务类型维护等功能。能满足集团多种类型的组织管理，党组织、项目组织、业务组织均能独立设置组织架构与权限体系。</w:t>
      </w:r>
    </w:p>
    <w:p>
      <w:pPr>
        <w:pStyle w:val="8"/>
        <w:kinsoku/>
        <w:wordWrap/>
        <w:topLinePunct w:val="0"/>
        <w:autoSpaceDE/>
        <w:autoSpaceDN/>
        <w:bidi w:val="0"/>
        <w:spacing w:before="198" w:after="198" w:line="560" w:lineRule="exact"/>
      </w:pPr>
      <w:r>
        <w:rPr>
          <w:rFonts w:hint="eastAsia"/>
        </w:rPr>
        <w:t>组织架构管理</w:t>
      </w:r>
    </w:p>
    <w:p>
      <w:pPr>
        <w:kinsoku/>
        <w:wordWrap/>
        <w:topLinePunct w:val="0"/>
        <w:autoSpaceDE/>
        <w:autoSpaceDN/>
        <w:bidi w:val="0"/>
        <w:spacing w:line="560" w:lineRule="exact"/>
        <w:ind w:firstLine="604"/>
      </w:pPr>
      <w:r>
        <w:rPr>
          <w:rFonts w:hint="eastAsia"/>
        </w:rPr>
        <w:t>组织机构支持灵活变化，支持多维组织管理，支持组织架构信息的批量导入、复制、新增、变更、移动、拆分、合并、</w:t>
      </w:r>
      <w:r>
        <w:rPr>
          <w:rFonts w:hint="eastAsia"/>
          <w:lang w:eastAsia="zh-CN"/>
        </w:rPr>
        <w:t>撤销</w:t>
      </w:r>
      <w:r>
        <w:rPr>
          <w:rFonts w:hint="eastAsia"/>
        </w:rPr>
        <w:t>、封存等，变化后系统自动生成历史版本，对变化情况进行记录。要求能还原到历史任意时间点的组织机构情况。支持根据组织机构版本对组织进行回滚与还原。同时支持历史版本查询与分析，为企业组织机构变迁提供明确的路径展示与管理支撑。</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1.组织架构设置</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系统支持企业进行集团化组织机构设置，支持多层级组织设置，支持多维度组织设置。支持根据企业情况自定义设置组织机构模式。组织架构由集团到子公司，可以精确分级管理，按需灵活调整，合并、分拆。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2.组织机构属性自定义</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组织机构属性自定义，系统默认支持组织机构职责及所属关系归集。支持根据情况对编码、全称、简称、机构类别、机构层级、所属业务系统、编制数量、在职人数等属性进行自定义。自定义的组织机构属性同样可以设置归集、从属等关系，且可以应用到业务流程流转当中。</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3.组织机构变动</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进行组织机构变动时，可通过图形化与列表两种形式进行批量操作，图形化模式可进行拖拉拽完成机构变动。组织机构图与组织机构列表数据自动同步，调整时只需要调整其中一种，系统自动进行同步调整，组织机构调整后组织下所辖人员的人事信息</w:t>
      </w:r>
      <w:r>
        <w:rPr>
          <w:rFonts w:hint="eastAsia" w:ascii="方正仿宋_GBK" w:hAnsi="方正仿宋_GBK"/>
          <w:snapToGrid w:val="0"/>
          <w:lang w:eastAsia="zh-CN"/>
        </w:rPr>
        <w:t>及</w:t>
      </w:r>
      <w:r>
        <w:rPr>
          <w:rFonts w:hint="eastAsia" w:ascii="方正仿宋_GBK" w:hAnsi="方正仿宋_GBK"/>
          <w:snapToGrid w:val="0"/>
        </w:rPr>
        <w:t>案例信息自动调整并形成新的员工工作轨迹。组织机构进行划转、拆分、合并时，系统支持进行手动选择下属机构、岗位、人员全部或部分划转。</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4.组织机构规划</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组织机构规划功能，支持提前在系统中搭建新版本的组织机构，搭建的新版本组织机构可以根据设置的生效日期启动，或者通过手动进行启用生效。生效日期可以通过协同流程进行自动设定和关联，如系统可设置红头文件下达之日起新组织机构启用等关联启动关系。</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5.组织机构回溯对比</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组织机构回溯对比功能，能够对任意时间段、任意版本的组织机构进行回溯对比，支持将一个或多个历史版本与当前组织机构模式下企业在部门架构、人力资源对比、效率问题等方面的情况比对，为企业战略规划的制定提供大量的数据对比支撑服务。</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组织回溯功能同时支持将任意时间点、任意版本的组织机构情况查询并导出组织机构图、组织关系图与组织架构列表。</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6.岗位属性自定义</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中岗位的基本信息、工作职责及任职资格要求等设置支持完全自定义，支持根据公司情况进行扩展与调整。系统可根据岗位属性自动生成岗位说明书，支持导出与打印，岗位说明书中同样会展示自定义的岗位要求。</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7.外部人员组织设置</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系统支持第三方员工、借调员工、临时员工、外派员工的管理，根据实际要求进行外部人员与组织的设立与管理。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8.组织架构展示</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系统组织架构列表支持下拉式、</w:t>
      </w:r>
      <w:r>
        <w:rPr>
          <w:rFonts w:hint="eastAsia" w:ascii="方正仿宋_GBK" w:hAnsi="方正仿宋_GBK"/>
          <w:snapToGrid w:val="0"/>
          <w:lang w:eastAsia="zh-CN"/>
        </w:rPr>
        <w:t>树形</w:t>
      </w:r>
      <w:r>
        <w:rPr>
          <w:rFonts w:hint="eastAsia" w:ascii="方正仿宋_GBK" w:hAnsi="方正仿宋_GBK"/>
          <w:snapToGrid w:val="0"/>
        </w:rPr>
        <w:t>结构菜单进行展示，同时具备图形化的组织架构图展示。系统组织架构图支持穿透查询子机构、部门、岗位、人员、角色等信息。</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9.组织架构调整</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组织架构调整支持通过审批流程进行审批启用，审批过程中的流程信息与组织架构调整版本进行关联，可以通过组织架构版本随时查询调整流程的审批时间、调整内容、审批人等信息。同时可以通过组织架构调整审批流程查询到调整后的组织机构版本。</w:t>
      </w:r>
    </w:p>
    <w:p>
      <w:pPr>
        <w:pStyle w:val="8"/>
        <w:kinsoku/>
        <w:wordWrap/>
        <w:topLinePunct w:val="0"/>
        <w:autoSpaceDE/>
        <w:autoSpaceDN/>
        <w:bidi w:val="0"/>
        <w:spacing w:before="198" w:after="198" w:line="560" w:lineRule="exact"/>
      </w:pPr>
      <w:r>
        <w:rPr>
          <w:rFonts w:hint="eastAsia"/>
        </w:rPr>
        <w:t>职位职务管理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1.职位管理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支持根据公司内部职能划分和职位工作分析，可以将职位进行分族、分类、分子类管理。同时根据职位工作分析，可以将职位职责、任职要求、任职资格等纳入系统管理。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2.职务管理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职务管理支持通过系统地收集和分析与职位有关的各种信息，进而将众多职位信息抽象整理成职务信息，为员工定级、定薪、职业发展规划等提供基础依据。系统支持对职务进行归类管理，明确每种职务对应的职层、职等等信息。</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3.职位等级管理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职等管理支持基于工作横向跨度，对职位等级进行归类划分，形成职位等级管理，简称职等。例如人力资源部经理、财务部经理职位可归属同一职等。支持将企业职等表在系统中新建或通过导入形式建立。</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4.职级管理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职级管理支持基于职位工作的专业深度，在职等基础上，划分不同的专业级别，简称职级。例如对可按初级、中级、高级、资深来区分职位对应的专业级别。</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5.图表化展示</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系统中可通过职位价值图谱进行纵向职等、横向职位分类矩阵式呈现企业职位分类、职级及职等的对应分布关系的图表化展示。</w:t>
      </w:r>
    </w:p>
    <w:p>
      <w:pPr>
        <w:pStyle w:val="8"/>
        <w:kinsoku/>
        <w:wordWrap/>
        <w:topLinePunct w:val="0"/>
        <w:autoSpaceDE/>
        <w:autoSpaceDN/>
        <w:bidi w:val="0"/>
        <w:spacing w:before="198" w:after="198" w:line="560" w:lineRule="exact"/>
      </w:pPr>
      <w:r>
        <w:rPr>
          <w:rFonts w:hint="eastAsia"/>
        </w:rPr>
        <w:t>人力编制管理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1.人力编制设置</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中人力编制可以按年度、月度进行展现和管理。支持根据用工关系类型，如正式工、临时工、劳务派遣工等类型进行人力编制管理。同时支持按模板导入编制，通过流程变更或人力管理员权限操作进行扩编/缩编业务。</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2.人力编制控制线</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中支持人力编制控制线，如上级单位可以给下级单位设定编制上限，下级单位编制总数不允许超过这个上限。同时支持用人部门通过人员需求申请单提交新增编制申请，或编制内补充人员需求申请，经过工作流程审批后，系统自动调整编制。</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3.人员需求申请</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系统人员需求申请单支持将详细情况以附件方式上传，公司在审核用人部门的人员需求申请单时，支持人员编制历史版本对比，使审批人能</w:t>
      </w:r>
      <w:r>
        <w:rPr>
          <w:rFonts w:hint="eastAsia" w:ascii="方正仿宋_GBK" w:hAnsi="方正仿宋_GBK"/>
          <w:snapToGrid w:val="0"/>
          <w:lang w:eastAsia="zh-CN"/>
        </w:rPr>
        <w:t>方便地调出</w:t>
      </w:r>
      <w:r>
        <w:rPr>
          <w:rFonts w:hint="eastAsia" w:ascii="方正仿宋_GBK" w:hAnsi="方正仿宋_GBK"/>
          <w:snapToGrid w:val="0"/>
        </w:rPr>
        <w:t>该职位在不同时间段的编制及实际人员数量、流入流出数量、流失率等变化情况，</w:t>
      </w:r>
      <w:r>
        <w:rPr>
          <w:rFonts w:hint="eastAsia" w:ascii="方正仿宋_GBK" w:hAnsi="方正仿宋_GBK"/>
          <w:snapToGrid w:val="0"/>
          <w:lang w:eastAsia="zh-CN"/>
        </w:rPr>
        <w:t>为</w:t>
      </w:r>
      <w:r>
        <w:rPr>
          <w:rFonts w:hint="eastAsia" w:ascii="方正仿宋_GBK" w:hAnsi="方正仿宋_GBK"/>
          <w:snapToGrid w:val="0"/>
        </w:rPr>
        <w:t>流程审批提供决策参考。</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4.人力报表</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通过人力报表支持人力编制动态预览，支持按组织、职位、用工关系等维度实时查询人力编制动态，包括每月的编制人数、期初人数、实际流入流出人数、可用编制等数量，为人力招聘或调整提供有效的参考。此外系统还支持根据企业实际需要自定义组织查询报表，例如组织编制报表、人力盘点报表等，报表模板可以在Excel中按自身格式需要进行设定，然后导入到系统生成统计分析报表。</w:t>
      </w:r>
    </w:p>
    <w:p>
      <w:pPr>
        <w:pStyle w:val="7"/>
        <w:kinsoku/>
        <w:wordWrap/>
        <w:topLinePunct w:val="0"/>
        <w:autoSpaceDE/>
        <w:autoSpaceDN/>
        <w:bidi w:val="0"/>
        <w:spacing w:before="198" w:after="198" w:line="560" w:lineRule="exact"/>
        <w:rPr>
          <w:rFonts w:hint="default"/>
        </w:rPr>
      </w:pPr>
      <w:r>
        <w:t>招聘管理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招聘管理是人力资源管理的第一步，其目的在于收集各部门的需求，形成招聘计划，进而根据招聘计划安排招聘活动，管理应聘者的简历等信息，同时记录应聘者面试情况和能力测试情况，为人员的录用及录用后如何制定合理的人员培训计划提供基础信息。招聘管理系统可以依据招聘流程的各个阶段进行信息实时管理，实现与人员管理、组织管理等功能的集成。主要包括：招聘需求和计划、简历库、招聘流程管理、人才库等功能。其中简历库要求能打通第三方招聘网站，实现自动收取外部简历，人才库要求能按企业需求进行调整与设置。</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内部招聘、校园招聘和社会招聘，与多个主流招聘网站实现数据导入或关联链接。内部招聘包括机构可以发布内部招聘需求，员工可以申请该职位，同时支持匿名申请，基本条件不符合自动退回。员工可以发布求职信息，同时支持匿名发布。下属机构在授权的情况下可以与发布人员进行联系。</w:t>
      </w:r>
    </w:p>
    <w:p>
      <w:pPr>
        <w:pStyle w:val="8"/>
        <w:kinsoku/>
        <w:wordWrap/>
        <w:topLinePunct w:val="0"/>
        <w:autoSpaceDE/>
        <w:autoSpaceDN/>
        <w:bidi w:val="0"/>
        <w:spacing w:before="198" w:after="198" w:line="560" w:lineRule="exact"/>
      </w:pPr>
      <w:r>
        <w:rPr>
          <w:rFonts w:hint="eastAsia"/>
        </w:rPr>
        <w:t>招聘门户</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系统提供支持招聘门户，实现招聘信息的快速查询，方便企业招聘人员与进程的沟通跟进。</w:t>
      </w:r>
    </w:p>
    <w:p>
      <w:pPr>
        <w:pStyle w:val="8"/>
        <w:kinsoku/>
        <w:wordWrap/>
        <w:topLinePunct w:val="0"/>
        <w:autoSpaceDE/>
        <w:autoSpaceDN/>
        <w:bidi w:val="0"/>
        <w:spacing w:before="198" w:after="198" w:line="560" w:lineRule="exact"/>
      </w:pPr>
      <w:r>
        <w:rPr>
          <w:rFonts w:hint="eastAsia"/>
        </w:rPr>
        <w:t>招聘工作台</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系统支持为招聘负责人提供招聘工作台，招聘负责人可以实时掌握招聘任务、招聘进展、招聘达成率等情况，</w:t>
      </w:r>
      <w:r>
        <w:rPr>
          <w:rFonts w:hint="eastAsia" w:ascii="方正仿宋_GBK" w:hAnsi="方正仿宋_GBK"/>
          <w:snapToGrid w:val="0"/>
          <w:lang w:eastAsia="zh-CN"/>
        </w:rPr>
        <w:t>纵览</w:t>
      </w:r>
      <w:r>
        <w:rPr>
          <w:rFonts w:hint="eastAsia" w:ascii="方正仿宋_GBK" w:hAnsi="方正仿宋_GBK"/>
          <w:snapToGrid w:val="0"/>
        </w:rPr>
        <w:t>招聘工作全局。</w:t>
      </w:r>
    </w:p>
    <w:p>
      <w:pPr>
        <w:pStyle w:val="8"/>
        <w:kinsoku/>
        <w:wordWrap/>
        <w:topLinePunct w:val="0"/>
        <w:autoSpaceDE/>
        <w:autoSpaceDN/>
        <w:bidi w:val="0"/>
        <w:spacing w:before="198" w:after="198" w:line="560" w:lineRule="exact"/>
      </w:pPr>
      <w:r>
        <w:rPr>
          <w:rFonts w:hint="eastAsia"/>
        </w:rPr>
        <w:t>招聘需求管理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支持内部招聘、校园招聘和社会招聘。用人部门可以通过工作流提交招聘需求到招聘部门，招聘需求中可以附带详细的职位职责和任职要求；</w:t>
      </w:r>
      <w:r>
        <w:rPr>
          <w:rFonts w:hint="eastAsia" w:ascii="方正仿宋_GBK" w:hAnsi="方正仿宋_GBK"/>
          <w:snapToGrid w:val="0"/>
          <w:lang w:val="en-US" w:eastAsia="zh-CN"/>
        </w:rPr>
        <w:t>针对</w:t>
      </w:r>
      <w:r>
        <w:rPr>
          <w:rFonts w:hint="eastAsia" w:ascii="方正仿宋_GBK" w:hAnsi="方正仿宋_GBK"/>
          <w:snapToGrid w:val="0"/>
        </w:rPr>
        <w:t>集团出资企业、事业单位年度招聘计划</w:t>
      </w:r>
      <w:r>
        <w:rPr>
          <w:rFonts w:hint="eastAsia" w:ascii="方正仿宋_GBK" w:hAnsi="方正仿宋_GBK"/>
          <w:snapToGrid w:val="0"/>
          <w:lang w:val="en-US" w:eastAsia="zh-CN"/>
        </w:rPr>
        <w:t>支持</w:t>
      </w:r>
      <w:r>
        <w:rPr>
          <w:rFonts w:hint="eastAsia" w:ascii="方正仿宋_GBK" w:hAnsi="方正仿宋_GBK"/>
          <w:snapToGrid w:val="0"/>
        </w:rPr>
        <w:t>报集团审批。招聘部门可以实时掌握各部门的招聘需求情况，包括需求数量、需求所处流程阶段等。</w:t>
      </w:r>
    </w:p>
    <w:p>
      <w:pPr>
        <w:pStyle w:val="8"/>
        <w:kinsoku/>
        <w:wordWrap/>
        <w:topLinePunct w:val="0"/>
        <w:autoSpaceDE/>
        <w:autoSpaceDN/>
        <w:bidi w:val="0"/>
        <w:spacing w:before="198" w:after="198" w:line="560" w:lineRule="exact"/>
      </w:pPr>
      <w:r>
        <w:rPr>
          <w:rFonts w:hint="eastAsia"/>
        </w:rPr>
        <w:t>职位发布</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系统支持内部招聘可一键发布到企业内网门户，校园招聘和社会招聘可与招聘网站对接，可一键发布职位招聘信息到招聘网站，无需逐一登录多个网站。</w:t>
      </w:r>
    </w:p>
    <w:p>
      <w:pPr>
        <w:pStyle w:val="8"/>
        <w:kinsoku/>
        <w:wordWrap/>
        <w:topLinePunct w:val="0"/>
        <w:autoSpaceDE/>
        <w:autoSpaceDN/>
        <w:bidi w:val="0"/>
        <w:spacing w:before="198" w:after="198" w:line="560" w:lineRule="exact"/>
      </w:pPr>
      <w:r>
        <w:rPr>
          <w:rFonts w:hint="eastAsia"/>
        </w:rPr>
        <w:t>简历搜集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系统支持招聘专员一键搜索各招聘网站的简历，并将不同渠道、不同类型的简历解析为统一格式保存到招聘系统简历库，并保留原始简历。</w:t>
      </w:r>
    </w:p>
    <w:p>
      <w:pPr>
        <w:pStyle w:val="8"/>
        <w:kinsoku/>
        <w:wordWrap/>
        <w:topLinePunct w:val="0"/>
        <w:autoSpaceDE/>
        <w:autoSpaceDN/>
        <w:bidi w:val="0"/>
        <w:spacing w:before="198" w:after="198" w:line="560" w:lineRule="exact"/>
      </w:pPr>
      <w:r>
        <w:rPr>
          <w:rFonts w:hint="eastAsia"/>
        </w:rPr>
        <w:t>简历筛选</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系统支持在简历库中将筛选过的简历进行标注，如重点人才、简历标签、黑名单等；可以智能筛选重复简历，保留时间最近的一份简历；提供简历筛选功能，方便人员的筛选。</w:t>
      </w:r>
    </w:p>
    <w:p>
      <w:pPr>
        <w:pStyle w:val="8"/>
        <w:kinsoku/>
        <w:wordWrap/>
        <w:topLinePunct w:val="0"/>
        <w:autoSpaceDE/>
        <w:autoSpaceDN/>
        <w:bidi w:val="0"/>
        <w:spacing w:before="198" w:after="198" w:line="560" w:lineRule="exact"/>
      </w:pPr>
      <w:r>
        <w:rPr>
          <w:rFonts w:hint="eastAsia"/>
        </w:rPr>
        <w:t>简历状态管理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在简历库中，招聘人员可以看到每份简历所处环节，如在筛选环节、面试环节、录用报批环节、offer环节、待入职环节等。同时，可以看到简历在每个环节的招聘状态，如筛选不通过、待面试、面试中、面试不通过、待报批、待入职、已入职等。</w:t>
      </w:r>
    </w:p>
    <w:p>
      <w:pPr>
        <w:pStyle w:val="8"/>
        <w:kinsoku/>
        <w:wordWrap/>
        <w:topLinePunct w:val="0"/>
        <w:autoSpaceDE/>
        <w:autoSpaceDN/>
        <w:bidi w:val="0"/>
        <w:spacing w:before="198" w:after="198" w:line="560" w:lineRule="exact"/>
      </w:pPr>
      <w:r>
        <w:rPr>
          <w:rFonts w:hint="eastAsia"/>
        </w:rPr>
        <w:t>面试管理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简历筛选通过的候选人，进入面试流程。根据不同类型人才的招聘要求，可以设计不同的面试方案。面试时间、地点、面试官等信息确定后，系统支持通过邮件、短信等方式向候选人发送面试邀约。面试邀约发出后，面试官会在自助服务中收到面试邀约。面试官可以查阅候选人的简历等详细信息；面试完毕后，面试官可以记录面试建议和结果；系统支持在进入面试阶段的候选人列表中，可以随时查看每个候选人所处的面试环节和面试状态。</w:t>
      </w:r>
    </w:p>
    <w:p>
      <w:pPr>
        <w:pStyle w:val="8"/>
        <w:kinsoku/>
        <w:wordWrap/>
        <w:topLinePunct w:val="0"/>
        <w:autoSpaceDE/>
        <w:autoSpaceDN/>
        <w:bidi w:val="0"/>
        <w:spacing w:before="198" w:after="198" w:line="560" w:lineRule="exact"/>
      </w:pPr>
      <w:r>
        <w:rPr>
          <w:rFonts w:hint="eastAsia"/>
        </w:rPr>
        <w:t>录用管理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候选人面试通过后，可以通过工作流审批的方式进入录用报批流程。在录用报批单据中，可以体现面试相关信息、薪酬福利相关信息，为领导审批提供全面信息参考。候选人的录用审批通过后，招聘人员可以按预设模板向候选人邮箱发送录用offer。同时支持已发送录用offer的人员，可以转入待入职管理人员库。</w:t>
      </w:r>
    </w:p>
    <w:p>
      <w:pPr>
        <w:pStyle w:val="7"/>
        <w:kinsoku/>
        <w:wordWrap/>
        <w:topLinePunct w:val="0"/>
        <w:autoSpaceDE/>
        <w:autoSpaceDN/>
        <w:bidi w:val="0"/>
        <w:spacing w:before="198" w:after="198" w:line="560" w:lineRule="exact"/>
        <w:rPr>
          <w:rFonts w:hint="default"/>
        </w:rPr>
      </w:pPr>
      <w:r>
        <w:t>人事管理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人事管理可以对人事信息进行分类查询（如：干部名称、发布时间段）、实现人员信息管理（人员基本信息、工作经历、教育程度、薪资信息、职称信息等）的规范化，达到快速维护、浏览、查询和统计数据的功能。实现从人员招聘、入职、转正、调动、离职、退休的全生命周期管理，最终实现集团人事档案管理的数智化，达到快速维护、查询和提取员工人事档案信息的功能，人事信息需要记录人员从入司开始经历的每一个人事异动与奖惩的全生命周期信息，进一步规范档案管理，提升档案管理工作效率。</w:t>
      </w:r>
    </w:p>
    <w:p>
      <w:pPr>
        <w:pStyle w:val="8"/>
        <w:kinsoku/>
        <w:wordWrap/>
        <w:topLinePunct w:val="0"/>
        <w:autoSpaceDE/>
        <w:autoSpaceDN/>
        <w:bidi w:val="0"/>
        <w:spacing w:before="198" w:after="198" w:line="560" w:lineRule="exact"/>
      </w:pPr>
      <w:r>
        <w:rPr>
          <w:rFonts w:hint="eastAsia"/>
        </w:rPr>
        <w:t>人员信息管理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1.员工信息档案库</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完整的员工信息档案库，对员工的基本信息、任职信息、受教育/培训信息、过往工作经历、知识技能等信息均可记录，同时系统通过员工工作轨迹变化将自动更新员工工作经历、教育/培训情况等信息，与薪酬管理、绩效管理、培训管理信息系统关联的信息更新后，系统同样自动更新员工信息库的相关记录。除系统自动更新外，系统支持通过Excel导入的方式进行大批量的员工信息新增或变更，导入后系统记录导入人与更新信息。系统支持员工信息由员工本人进行</w:t>
      </w:r>
      <w:r>
        <w:rPr>
          <w:rFonts w:hint="eastAsia" w:ascii="方正仿宋_GBK" w:hAnsi="方正仿宋_GBK"/>
          <w:snapToGrid w:val="0"/>
          <w:lang w:eastAsia="zh-CN"/>
        </w:rPr>
        <w:t>自主</w:t>
      </w:r>
      <w:r>
        <w:rPr>
          <w:rFonts w:hint="eastAsia" w:ascii="方正仿宋_GBK" w:hAnsi="方正仿宋_GBK"/>
          <w:snapToGrid w:val="0"/>
        </w:rPr>
        <w:t>变更，变更后的信息经审核后生效。系统中员工信息档案库变更后支持自动生成变更日期记录。</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员工基本信息：工号、姓名、性别、年龄、国籍、证件类型、证件号码、出生日期、出生地、部门、岗位、人员类别、在职状态、籍贯、民族、政治面貌、入党时间、党龄、社会身份、电话号码、最高学历、第一学位、第二学位、毕业院校、毕业时间、所学专业、婚姻状况、社会关系、健康状况、职称/职业资格、职称/职业资格评定时间、职务、参加工作时间、工龄、进入公司时间、司龄、转正时间、用工来源、用工分类、职业分类、家庭地址、户籍地址、邮箱、职级、薪资级别、工资关系、薪资套档、劳保津贴类别、开户银行、银行账号、户口性质、照片、奖惩记录、出入境记录、语言能力、是否退伍/役军人、入伍时间、退伍/役时间、部队名称、是否现役军人家属、是否为优秀人才、进入优才库时间、出优秀库时间、家庭成员、家庭成员出生日期、家庭成员年龄、家庭成员工作单位、紧急联系人、紧急联系人电话、是否残疾、残疾证件、离职时间、离职原因等基本信息。</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2.个性标签设置</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系统支持根据员工的个性、特长、形象等鲜明特征，为员工添加个人魅力识别标签，如交际达人、运动健将、白领丽人、好导师等。标签内容自定义，支持作为流程判断条件或系统表单条件等应用。</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3.员工信息自定义</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系统支持员工信息库记录的内容项目或内容表根据实际需要自定义，自定义信息支持作为流程判断条件或系统表单条件等应用。</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4.多维度授权</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系统中员工信息库的信息查看支持多维度授权，实现相关管理者各自查询授权范围内的员工信息。</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5.人员信息附件管理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系统中员工信息库可以将员工的工作论文成果、体检报告等相关文件以附件形式上传管理。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6.信息完整度校验</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系统支持对员工信息完整程度定义完整度校验标准，系统自动对信息完整度进行校验，并给出完整度统计。</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7.履历展示自定义配置</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系统支持通过自定义配置员工履历中需要展示的项目，并支持直接打印。</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8.工龄自动计算</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支持根据员工履历信息，按照相关规则自动计算员工工龄。</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9.员工信息采集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通过接口与集成整合支持卡片套打、二维码扫码采集员工信息、预入职系统采集员工信息功能。</w:t>
      </w:r>
    </w:p>
    <w:p>
      <w:pPr>
        <w:pStyle w:val="8"/>
        <w:kinsoku/>
        <w:wordWrap/>
        <w:topLinePunct w:val="0"/>
        <w:autoSpaceDE/>
        <w:autoSpaceDN/>
        <w:bidi w:val="0"/>
        <w:spacing w:before="198" w:after="198" w:line="560" w:lineRule="exact"/>
      </w:pPr>
      <w:r>
        <w:rPr>
          <w:rFonts w:hint="eastAsia"/>
        </w:rPr>
        <w:t>人员合同管理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1.合同信息库</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系统通过员工合同信息库支持企业与员工签订的所有合同记录，形成合同信息库，可以查询每个员工的历史合同记录，也可以按不同状态查询相应的合同记录。</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2.合同模板库</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系统通过合同模板管理支持根据员工与企业签订的不同合同内容，如劳动合同、培训合同、保密合同、集体合同、竞业禁止协议等，支持将相应的合同模板上传到系统，统一在系统中建立合同模板库。</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3.合同打印</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系统中的劳动合同审批完成后支持合同套打，支持按劳动合同模板将该合同打印出来与员工进行书面签字。</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4.合同附件管理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支持将双方签字或盖章版的合同扫描件以附件形式上传到员工合同信息库对应的合同记录中。</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5.合同审批</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系统中员工合同新签、续签、变更、终止、解除等支持通过电子工作流进行逐级审批，审批结束后自动生成合同记录。同时支持由Excel模板批量导入系统，系统自动记录导入人。</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6.合同到期预警</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合同到期预警，支持根据实际需要自定义设置合同到期预警规则，预警消息支持通过系统消息、邮件、手机短信等方式发送给合同相关管理者和员工本人，并自动提醒相关方及时做好合同续签或终止等管理工作，有效避免漏签带来的法律风险。</w:t>
      </w:r>
    </w:p>
    <w:p>
      <w:pPr>
        <w:pStyle w:val="8"/>
        <w:kinsoku/>
        <w:wordWrap/>
        <w:topLinePunct w:val="0"/>
        <w:autoSpaceDE/>
        <w:autoSpaceDN/>
        <w:bidi w:val="0"/>
        <w:spacing w:before="198" w:after="198" w:line="560" w:lineRule="exact"/>
      </w:pPr>
      <w:r>
        <w:rPr>
          <w:rFonts w:hint="eastAsia"/>
        </w:rPr>
        <w:t>人员变动管理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1.员工入职</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系统支持预入职管理，通过与招聘版块集成整合，支持招聘部门在招聘系统中向应聘者发送offer时，人事版块自动将该录用</w:t>
      </w:r>
      <w:r>
        <w:rPr>
          <w:rFonts w:hint="eastAsia" w:ascii="方正仿宋_GBK" w:hAnsi="方正仿宋_GBK"/>
          <w:snapToGrid w:val="0"/>
          <w:lang w:eastAsia="zh-CN"/>
        </w:rPr>
        <w:t>人员</w:t>
      </w:r>
      <w:r>
        <w:rPr>
          <w:rFonts w:hint="eastAsia" w:ascii="方正仿宋_GBK" w:hAnsi="方正仿宋_GBK"/>
          <w:snapToGrid w:val="0"/>
        </w:rPr>
        <w:t>的简历信息和应聘信息转入员工管理的预入职人员库。同时支持直接新增或Excel导入等方式将该类人员纳入预入职人员库。</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系统在入职管理时，支持入职人员来源于公司已录用或在职员工。系统支持将该类人员在入职时直接分配到目标职位，同时支持因需参加新人入职培训等原因处于待分配状态。</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系统支持对入职人员进行信息合规检查，支持年龄合规校验、黑名单人员校验、因公司淘汰原因不能再入职校验等检查项，同时支持检查项自定义。</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系统支持对入职培训未通过的人员进行辞退处理。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2.员工转正</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对通过试用期考核员工的转正处理，支持通过直接批量转正操作。同时支持发起转正工作流审批的方式转正，转正审核通过后，系统自动生成员工任职历史信息，并自动更改为正式员工状态。系统中支持自定义设置试用期到期预警规则，提醒相关方及时做好人员转正等管理工作。</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3.员工异动</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系统中通过调动管理支持晋升、平调、降职等不同方式产生内部流动，同时支持在集团下属分子公司之间跨组织流动。 同时支持除正式的职位调动外的员工借调管理，包括借调调出、借调调回，调回又区分是否调回原岗位等。</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中的员工兼职、借调支持通过电子工作流审批自动更新状态，同时员工调动支持根据权限调整后直接生效。同时支持员工兼职、挂职、转岗、外派等异动信息的维护，支持不同单位按管理权限维护和使用同一员工的相关信息。</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员工借调管理支持批量调配，系统中流程办理时支持批量加入被调配人员信息，同时员工调动信息支持自动进入员工档案记录，并自动更新和生成员工履历表。</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4.员工离职</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预离职管理，对已经向公司提出离职申请的员工，或者员工合同到期公司不准备续签的员工，可以纳入预离职管理库管理。系统支持员工主动提出辞职或公司终止合同、解雇、辞退员工时通过电子工作流审批，审批完成后进入离职员工信息库。同时支持将离职人员信息直接用Excel批量导入离职信息库。员工离职手续办完后，支持自定义离职证明格式并打印。</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系统对严重违纪或淘汰等原因离职的员工，支持将其列为黑名单，再次入职时系统会自动提醒。</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系统储存员工离职有关的材料，如辞职申请、离职手续交接单、辞退相关的违纪证据等，支持以附件方式上传离职库储存。</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系统支持离职员工二次入职时将离职员工的信息恢复使用，系统生成薪的入职信息接续在员工工作轨迹上。</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5.员工退休及返聘</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提供退休及返聘管理，支持员工退休、返聘、返聘终止等业务，支持通过直接操作或电子工作流审批的方式操作；退休、返聘、返聘终止操作完成后，员工关系状态变化，系统支持分别形成退休人员库和返聘人员库。</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系统支持按不同的变动类型、变动原因、变动日期等，快速复合查询发生变动的人员。</w:t>
      </w:r>
    </w:p>
    <w:p>
      <w:pPr>
        <w:pStyle w:val="7"/>
        <w:kinsoku/>
        <w:wordWrap/>
        <w:topLinePunct w:val="0"/>
        <w:autoSpaceDE/>
        <w:autoSpaceDN/>
        <w:bidi w:val="0"/>
        <w:spacing w:before="198" w:after="198" w:line="560" w:lineRule="exact"/>
        <w:rPr>
          <w:rFonts w:hint="default"/>
        </w:rPr>
      </w:pPr>
      <w:r>
        <w:t>培训管理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帮助集团提高培训资源的利用效率包括指导培训计划的制定、培训申请、培训管理等。培训计划与培训执行相互关联影响，最终能体现企业的培训执行效率。</w:t>
      </w:r>
    </w:p>
    <w:p>
      <w:pPr>
        <w:pStyle w:val="8"/>
        <w:kinsoku/>
        <w:wordWrap/>
        <w:topLinePunct w:val="0"/>
        <w:autoSpaceDE/>
        <w:autoSpaceDN/>
        <w:bidi w:val="0"/>
        <w:spacing w:before="198" w:after="198" w:line="560" w:lineRule="exact"/>
      </w:pPr>
      <w:r>
        <w:rPr>
          <w:rFonts w:hint="eastAsia"/>
        </w:rPr>
        <w:t>培训计划的制定</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培训计划的制定需要包含的主要功能有：</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1.支持为各类培训计划设置审核流程，实现对培训项目、培训活动的申请和审批、评估培训结果等进行全过程监控；</w:t>
      </w:r>
    </w:p>
    <w:p>
      <w:pPr>
        <w:kinsoku/>
        <w:wordWrap/>
        <w:topLinePunct w:val="0"/>
        <w:autoSpaceDE/>
        <w:autoSpaceDN/>
        <w:bidi w:val="0"/>
        <w:spacing w:line="560" w:lineRule="exact"/>
        <w:ind w:firstLine="604"/>
        <w:rPr>
          <w:rFonts w:hint="eastAsia" w:ascii="方正仿宋_GBK" w:hAnsi="方正仿宋_GBK"/>
          <w:snapToGrid w:val="0"/>
        </w:rPr>
      </w:pPr>
      <w:r>
        <w:rPr>
          <w:rFonts w:hint="eastAsia" w:ascii="方正仿宋_GBK" w:hAnsi="方正仿宋_GBK"/>
          <w:snapToGrid w:val="0"/>
        </w:rPr>
        <w:t>2.可与培训规划、绩效考核、员工发展等结合，或根据培训需求调查结果，为员工制定必要、合理的培训计划。</w:t>
      </w:r>
    </w:p>
    <w:p>
      <w:pPr>
        <w:pStyle w:val="2"/>
        <w:kinsoku/>
        <w:wordWrap/>
        <w:topLinePunct w:val="0"/>
        <w:autoSpaceDE/>
        <w:autoSpaceDN/>
        <w:bidi w:val="0"/>
        <w:spacing w:line="560" w:lineRule="exact"/>
        <w:rPr>
          <w:rFonts w:hint="default" w:eastAsia="方正仿宋_GBK"/>
          <w:lang w:val="en-US" w:eastAsia="zh-CN"/>
        </w:rPr>
      </w:pPr>
      <w:r>
        <w:rPr>
          <w:rFonts w:hint="eastAsia" w:ascii="方正仿宋_GBK" w:hAnsi="方正仿宋_GBK"/>
          <w:snapToGrid w:val="0"/>
          <w:lang w:val="en-US" w:eastAsia="zh-CN"/>
        </w:rPr>
        <w:t>3.支持集团出资企业、事业单位年度培训计划报集团审批。</w:t>
      </w:r>
    </w:p>
    <w:p>
      <w:pPr>
        <w:pStyle w:val="8"/>
        <w:kinsoku/>
        <w:wordWrap/>
        <w:topLinePunct w:val="0"/>
        <w:autoSpaceDE/>
        <w:autoSpaceDN/>
        <w:bidi w:val="0"/>
        <w:spacing w:before="198" w:after="198" w:line="560" w:lineRule="exact"/>
      </w:pPr>
      <w:r>
        <w:rPr>
          <w:rFonts w:hint="eastAsia"/>
        </w:rPr>
        <w:t>培训申请</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培训申请需要包含的主要功能有：</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1.支持培训需求的填报、修改、汇总并生成培训计划；</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2.支持对培训计划的审批。</w:t>
      </w:r>
    </w:p>
    <w:p>
      <w:pPr>
        <w:pStyle w:val="8"/>
        <w:kinsoku/>
        <w:wordWrap/>
        <w:topLinePunct w:val="0"/>
        <w:autoSpaceDE/>
        <w:autoSpaceDN/>
        <w:bidi w:val="0"/>
        <w:spacing w:before="198" w:after="198" w:line="560" w:lineRule="exact"/>
      </w:pPr>
      <w:r>
        <w:rPr>
          <w:rFonts w:hint="eastAsia"/>
        </w:rPr>
        <w:t>培训管理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培训管理需要包含的主要功能有：</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1.支持直接分配参训人员；</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2.支持培训档案回填到人员信息中的培训子集中；</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3.能够对培训情况进行多条件查询和统计分析，实现生成员工、部门、培训项目等多种报表，支持分层级的培训需求汇总及分析；</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4.支持学员对培训课程及培训讲师的评估，支持评估表内容的自定义；</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5.对培训效果进行跟踪管理，形成反馈结果；</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6.支持对学习平台的集成；</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7.支持培训通知的发送；</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8.支持学员报名及审批、报名回执的填写、学员出勤情况统计。</w:t>
      </w:r>
    </w:p>
    <w:p>
      <w:pPr>
        <w:pStyle w:val="8"/>
        <w:kinsoku/>
        <w:wordWrap/>
        <w:topLinePunct w:val="0"/>
        <w:autoSpaceDE/>
        <w:autoSpaceDN/>
        <w:bidi w:val="0"/>
        <w:spacing w:before="198" w:after="198" w:line="560" w:lineRule="exact"/>
      </w:pPr>
      <w:r>
        <w:rPr>
          <w:rFonts w:hint="eastAsia"/>
        </w:rPr>
        <w:t>培训经费管理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系统支持培训经费可按年、月、班次、个人等信息设置自动生成报表，将培训费用与学员学习相关联，学员费用当年超过一定金额后，自动提醒签署员工培训协议书。</w:t>
      </w:r>
    </w:p>
    <w:p>
      <w:pPr>
        <w:pStyle w:val="8"/>
        <w:kinsoku/>
        <w:wordWrap/>
        <w:topLinePunct w:val="0"/>
        <w:autoSpaceDE/>
        <w:autoSpaceDN/>
        <w:bidi w:val="0"/>
        <w:spacing w:before="198" w:after="198" w:line="560" w:lineRule="exact"/>
      </w:pPr>
      <w:r>
        <w:rPr>
          <w:rFonts w:hint="eastAsia"/>
        </w:rPr>
        <w:t>员工培训档案</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系统支持查询人员的学习概要信息，包括：学习完成情况、员工学习记录、参加的培训班课程、外出专项培训、其他学习记录等。员工个人可以通过自助查看到个人的培训档案。</w:t>
      </w:r>
    </w:p>
    <w:p>
      <w:pPr>
        <w:pStyle w:val="8"/>
        <w:kinsoku/>
        <w:wordWrap/>
        <w:topLinePunct w:val="0"/>
        <w:autoSpaceDE/>
        <w:autoSpaceDN/>
        <w:bidi w:val="0"/>
        <w:spacing w:before="198" w:after="198" w:line="560" w:lineRule="exact"/>
      </w:pPr>
      <w:r>
        <w:rPr>
          <w:rFonts w:hint="eastAsia"/>
        </w:rPr>
        <w:t>培训报表</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培训管理者能够从各个维度进行学员培训学习情况的统计分析，主要包括：学员培训学习情况统计表、需求调研分析表、学员培训考试情况分析表、讲师满意度评估表、学员登入情况表等；培训计划表、培训费用表、培训月度报表、培训年度报表、培训班报表等；报表可生成实时数据、历史数据、指定阶段时间报表信息。系统能适时调整或新增项目（员工各项学习记录，可自动分类、分项目、分层级汇总，并筛选出未按时完成培训名单及不及格名单等相关信息）。</w:t>
      </w:r>
    </w:p>
    <w:p>
      <w:pPr>
        <w:pStyle w:val="8"/>
        <w:kinsoku/>
        <w:wordWrap/>
        <w:topLinePunct w:val="0"/>
        <w:autoSpaceDE/>
        <w:autoSpaceDN/>
        <w:bidi w:val="0"/>
        <w:spacing w:before="198" w:after="198" w:line="560" w:lineRule="exact"/>
      </w:pPr>
      <w:r>
        <w:rPr>
          <w:rFonts w:hint="eastAsia"/>
        </w:rPr>
        <w:t>讲师管理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支持按照集团要求搭建讲师管理体系，实现对内部讲师、外部讲师的分级管理，讲师档案管理自动记录讲师的授课记录、课件信息。</w:t>
      </w:r>
    </w:p>
    <w:p>
      <w:pPr>
        <w:pStyle w:val="7"/>
        <w:kinsoku/>
        <w:wordWrap/>
        <w:topLinePunct w:val="0"/>
        <w:autoSpaceDE/>
        <w:autoSpaceDN/>
        <w:bidi w:val="0"/>
        <w:spacing w:before="198" w:after="198" w:line="560" w:lineRule="exact"/>
        <w:rPr>
          <w:rFonts w:hint="default"/>
        </w:rPr>
      </w:pPr>
      <w:r>
        <w:t>学习平台</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建立集团自身的培训体系，将培训内容与工作职位相挂钩，使培训工作系统化，帮助集团建立科学的培训学习平台，提高培训资源的利用效率，主要包括：学习门户、在线学习、在线考试、培训班、调查问卷、直播系统、学习地图、信息咨询等功能。</w:t>
      </w:r>
    </w:p>
    <w:p>
      <w:pPr>
        <w:pStyle w:val="8"/>
        <w:kinsoku/>
        <w:wordWrap/>
        <w:topLinePunct w:val="0"/>
        <w:autoSpaceDE/>
        <w:autoSpaceDN/>
        <w:bidi w:val="0"/>
        <w:spacing w:before="198" w:after="198" w:line="560" w:lineRule="exact"/>
      </w:pPr>
      <w:r>
        <w:rPr>
          <w:rFonts w:hint="eastAsia"/>
        </w:rPr>
        <w:t>学习门户</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自定义设置多角色学习门户，支持学员通过培训学习门户可以查看企业内部的培训新闻及公告、查看相关的课程资源、考试资源、培训开班相关信息，同时还可以跟别的同事通过学友圈、在线提问等工具进行沟通交流。系统支持在学员门户中，学员可以看到与本岗位职业发展通道相关任职能力要求和需要学习的课程。支持学员可以利用碎片化时间进行在线学习，系统自动记录每门课程的学习进度、学时等信息。</w:t>
      </w:r>
    </w:p>
    <w:p>
      <w:pPr>
        <w:pStyle w:val="8"/>
        <w:kinsoku/>
        <w:wordWrap/>
        <w:topLinePunct w:val="0"/>
        <w:autoSpaceDE/>
        <w:autoSpaceDN/>
        <w:bidi w:val="0"/>
        <w:spacing w:before="198" w:after="198" w:line="560" w:lineRule="exact"/>
      </w:pPr>
      <w:r>
        <w:rPr>
          <w:rFonts w:hint="eastAsia"/>
        </w:rPr>
        <w:t>在线学习</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企业可根据实际情况，可以制订各类在线学习课程，在学习过程中融入学习、考试、作业提交等各种关卡，学员闯关成功后即可完成课程学习，获得学分，系统可以按照个人或者团队的维度进行学分排名统计展示。在学习中学员还可以在学习中参与学习讨论，遇到有用的知识点，学员可以在学习中进行记录，方便学习回顾，也可以查看</w:t>
      </w:r>
      <w:r>
        <w:rPr>
          <w:rFonts w:hint="eastAsia" w:ascii="方正仿宋_GBK" w:hAnsi="方正仿宋_GBK"/>
          <w:snapToGrid w:val="0"/>
          <w:lang w:eastAsia="zh-CN"/>
        </w:rPr>
        <w:t>其他</w:t>
      </w:r>
      <w:r>
        <w:rPr>
          <w:rFonts w:hint="eastAsia" w:ascii="方正仿宋_GBK" w:hAnsi="方正仿宋_GBK"/>
          <w:snapToGrid w:val="0"/>
        </w:rPr>
        <w:t>学员的共享笔记，促进学习理解。</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1.闯关学习</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学员在接收到学习任务后，即可开始学习，学员也可自行选择课程进行自主学习。而学习关卡包括了“课件的学习、学习后的测验、实操作业或视频的提交”等方面。</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2.在线学习（课件的学习）</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支持“word、ppt、音频、视频类”的课件在线播放，系统记录学习的开始时间及完成时间，当学习结束后，则自动进入下一个环节。</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3.提交作业</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学习活动中，设置为“作业”的环节，学员可直接上传作业，然后导师检查学员的作业完成情况，并给出相应的评价。</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4.学习交流</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课程学习中，所有的学员都可以对课程内容进行点评及评分，同时，也可以对其他人的评价进行回复或评论。</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5.学习笔记记录</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在学习过程中，若遇到有学习价值的知识点，学员可以进行学习笔记的记录，方便之后理解使用，学员也可查看</w:t>
      </w:r>
      <w:r>
        <w:rPr>
          <w:rFonts w:hint="eastAsia" w:ascii="方正仿宋_GBK" w:hAnsi="方正仿宋_GBK"/>
          <w:snapToGrid w:val="0"/>
          <w:lang w:eastAsia="zh-CN"/>
        </w:rPr>
        <w:t>其他</w:t>
      </w:r>
      <w:r>
        <w:rPr>
          <w:rFonts w:hint="eastAsia" w:ascii="方正仿宋_GBK" w:hAnsi="方正仿宋_GBK"/>
          <w:snapToGrid w:val="0"/>
        </w:rPr>
        <w:t>学员在记录的共享笔记，对笔记进行交流讨论，加强学习理解。</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6.每日一学</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对于碎片化知识，支持以每日一学的形式进行推送学习。</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7.讲师查询</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查阅课程讲师信息，支持查阅讲师基本信息，授课记录、添加的课程等信息。</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8.查阅课件</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支持直接查阅课件，</w:t>
      </w:r>
      <w:r>
        <w:rPr>
          <w:rFonts w:hint="eastAsia" w:ascii="方正仿宋_GBK" w:hAnsi="方正仿宋_GBK"/>
          <w:snapToGrid w:val="0"/>
          <w:lang w:eastAsia="zh-CN"/>
        </w:rPr>
        <w:t>无需</w:t>
      </w:r>
      <w:r>
        <w:rPr>
          <w:rFonts w:hint="eastAsia" w:ascii="方正仿宋_GBK" w:hAnsi="方正仿宋_GBK"/>
          <w:snapToGrid w:val="0"/>
        </w:rPr>
        <w:t>参与课程，直接查阅课件，如若对课件感兴趣，则可以进行该课件的系统内容。</w:t>
      </w:r>
    </w:p>
    <w:p>
      <w:pPr>
        <w:pStyle w:val="8"/>
        <w:kinsoku/>
        <w:wordWrap/>
        <w:topLinePunct w:val="0"/>
        <w:autoSpaceDE/>
        <w:autoSpaceDN/>
        <w:bidi w:val="0"/>
        <w:spacing w:before="198" w:after="198" w:line="560" w:lineRule="exact"/>
      </w:pPr>
      <w:r>
        <w:rPr>
          <w:rFonts w:hint="eastAsia"/>
        </w:rPr>
        <w:t>在线考试</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考试是检验学习情况的标准之一，通过考试，检查学习是否到位，哪些知识仍需要巩固。而互联网的考试模式，增强了考试的趣味性，互动性。在线考试模块提供员工自测练习、模拟考试和正式考核三种考试类型。对于年度考核、资格考核或日常考核等正式的考试需求，企业通过发布考试活动，让员工在规定的时间内完成在线考试任务，考试完成后自动出考试结果和总体考试分析，节省线下考试在人员投入和活动组织方面的时间和金钱的消耗。考试管理还支持员工在考试前进行自测，方便自我锻炼实时检测学习成果，对于篇幅较长的知识点考核，可以拆分为碎片试题在每天例行考核，加强记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1.题库管理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在线考试可设置相应的题库分类，支持丰富的题型，包括单选题、不定项选择题、判断题、填空题、阅读理解题、问答题等，可以定义试题的难易程度，支持试题的批量导入，除了支持传统的文本试题外，还支持多媒体考试试题，实现考试的图、文、影、音并茂。</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2.试卷管理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系统支持在线考试管理支持固定试卷管理，也支持自动组卷管理，考试管理员可以设置试卷相应的组卷规则，可</w:t>
      </w:r>
      <w:r>
        <w:rPr>
          <w:rFonts w:hint="eastAsia" w:ascii="方正仿宋_GBK" w:hAnsi="方正仿宋_GBK"/>
          <w:snapToGrid w:val="0"/>
          <w:lang w:eastAsia="zh-CN"/>
        </w:rPr>
        <w:t>根据</w:t>
      </w:r>
      <w:r>
        <w:rPr>
          <w:rFonts w:hint="eastAsia" w:ascii="方正仿宋_GBK" w:hAnsi="方正仿宋_GBK"/>
          <w:snapToGrid w:val="0"/>
        </w:rPr>
        <w:t>组卷规则每次进行考试的时候自动从题库中抽题进行考试。支持单选题、多选题、判断题等常规，排序题、填字题等趣味题型自动评卷，支持问答等主观题型手工评卷。支持以课程或线下培训班为基点的考试活动。支持企业对于任职资格、学员能力等方面的测评。</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3.考试活动管理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设置考试的次数、考试时间、是否能切屏、是否能中途保存等。考试中，达到时间上限自动交卷；考试后，可查看成绩单，包括当前与历史最好成绩的对比、最新的成绩排行榜、答题解析；支持考前自测；使用移动端考试期间，不可进行任何形式的离开考试页面，如home将APP置后台。</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4.统计分析</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答题分析，考试情况分析：考试应考、已考、通过率、平均分等；人员考试情况分析。学员考试结果（成绩、用时、排名、考试时间等详细查看）。学员答题情况分析：考试答题的错题率分析；习题答题明细统计：每道题错误选项明细统计。支持补考功能，支持补考提醒功能。</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5.我的考试</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从“未参加、待参加、已参加”三个维度来体现我的考试信息。从“待参加”状态中查看所有需要进入的考试活动，考试试题支持“单选、多选、判断、填空、问答”几种题型的混合，考试进行中，以题卡的形式显示试卷题目数量，同时，支持对不确定的答案进行标记，便于考试完成后的检查；“未参加”主要是指考试时间到了，而考生忘记参加的考试信息，考试时间结束后，只能查询到考试活动，无法进入查看试卷内容；“已参加”是指已经参加过的考试，可查看已参加的考试标题、时间及考试分数等信息。</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6.考试超时处理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考试超时的情况下，提供两种处理方式，“提交试卷”及“提示提交试卷或者废弃重考”两种。“提交试卷”即在同一场考试中，当考试时间已到的时候，系统自动提交试卷且计算成绩；“提示提交试卷或废弃重考”是指考试时间已到的情况下，系统弹出提示框，提醒用户时间已到，可以提交试卷结束考试，也可以将本次考试废弃后，重新开始考试，废弃的情况下，本次考试成绩作废。</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7.每日一考</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适用于带有学习性质的考试应用。在试题库中预置大量的试题，根据试题特性，设置各类题库，例如“产品功能、营销技巧、企业规范</w:t>
      </w:r>
      <w:r>
        <w:rPr>
          <w:rFonts w:hint="eastAsia" w:ascii="方正仿宋_GBK" w:hAnsi="方正仿宋_GBK"/>
          <w:snapToGrid w:val="0"/>
          <w:lang w:eastAsia="zh-CN"/>
        </w:rPr>
        <w:t>”</w:t>
      </w:r>
      <w:r>
        <w:rPr>
          <w:rFonts w:hint="eastAsia" w:ascii="方正仿宋_GBK" w:hAnsi="方正仿宋_GBK"/>
          <w:snapToGrid w:val="0"/>
        </w:rPr>
        <w:t>等各种题库。用户在使用前，设置适合于自己的考试计划，定义考试周期，系统自动在考试周期内推送相对应的考试试题，并且在移动端中提醒考生开始当天的考试。考试过程中，每答出一个题，都会给出答案的正确与否，当答案错误时，系统自动给出正确答案，以达到考试中学习的目的。</w:t>
      </w:r>
    </w:p>
    <w:p>
      <w:pPr>
        <w:pStyle w:val="8"/>
        <w:kinsoku/>
        <w:wordWrap/>
        <w:topLinePunct w:val="0"/>
        <w:autoSpaceDE/>
        <w:autoSpaceDN/>
        <w:bidi w:val="0"/>
        <w:spacing w:before="198" w:after="198" w:line="560" w:lineRule="exact"/>
      </w:pPr>
      <w:r>
        <w:rPr>
          <w:rFonts w:hint="eastAsia"/>
        </w:rPr>
        <w:t>培训班</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支持在培训班管理中记录开班日期、培训报名、开班课程、考试规则、培训费用预算等，并实现培训班开班提醒。</w:t>
      </w:r>
    </w:p>
    <w:p>
      <w:pPr>
        <w:pStyle w:val="8"/>
        <w:kinsoku/>
        <w:wordWrap/>
        <w:topLinePunct w:val="0"/>
        <w:autoSpaceDE/>
        <w:autoSpaceDN/>
        <w:bidi w:val="0"/>
        <w:spacing w:before="198" w:after="198" w:line="560" w:lineRule="exact"/>
      </w:pPr>
      <w:r>
        <w:rPr>
          <w:rFonts w:hint="eastAsia"/>
        </w:rPr>
        <w:t>调查问卷</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学员可以通过课程满意度调研问卷对讲师的授课进行满意度的评估，调查问卷填报提交后，后台进行调查情况的汇总统计分析，并生成相关报表。</w:t>
      </w:r>
    </w:p>
    <w:p>
      <w:pPr>
        <w:pStyle w:val="8"/>
        <w:kinsoku/>
        <w:wordWrap/>
        <w:topLinePunct w:val="0"/>
        <w:autoSpaceDE/>
        <w:autoSpaceDN/>
        <w:bidi w:val="0"/>
        <w:spacing w:before="198" w:after="198" w:line="560" w:lineRule="exact"/>
      </w:pPr>
      <w:r>
        <w:rPr>
          <w:rFonts w:hint="eastAsia"/>
        </w:rPr>
        <w:t>直播系统</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在线点播课件和在线直播课堂两种形式，对于在线课程资源支持传统的PPT文档课件、FLASH动画、视频、scorm2.0标准课件、互联网URL连接等多种形式；支持边播边下功能。支持防呆控制，未学习的内容进度控制不允许向后拖动，避免学员跳过学习内容，曾经学习过时则可自由拖动。系统提供一套简易的课件制作工具，方便用户把PPT、word文档、execl表格、FLASH动画录制成三分频课件。</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支持在线直播讲解课程，支持直播学习提醒功能，支持直播过程评论，学员交流功能。</w:t>
      </w:r>
    </w:p>
    <w:p>
      <w:pPr>
        <w:pStyle w:val="8"/>
        <w:kinsoku/>
        <w:wordWrap/>
        <w:topLinePunct w:val="0"/>
        <w:autoSpaceDE/>
        <w:autoSpaceDN/>
        <w:bidi w:val="0"/>
        <w:spacing w:before="198" w:after="198" w:line="560" w:lineRule="exact"/>
      </w:pPr>
      <w:r>
        <w:rPr>
          <w:rFonts w:hint="eastAsia"/>
        </w:rPr>
        <w:t>学习地图</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企业内部的系列学习专题，岗位晋升学习通道，年度学习计划，往往具有多个学习阶段，每个阶段间具有先后的学习顺序要求，需要集合多个课程、考试和作业的学习规划，这是可以用闯关学习地图的方式进行组织。与单一的学习课程和学习计划不同，学习地图提供了学习路径的全方位立体直观展示，学员通过参加学习地图的学习，对本次学习的学习目标、整体学习的阶段规划和自己所处的学习阶段都有</w:t>
      </w:r>
      <w:r>
        <w:rPr>
          <w:rFonts w:hint="eastAsia" w:ascii="方正仿宋_GBK" w:hAnsi="方正仿宋_GBK"/>
          <w:snapToGrid w:val="0"/>
          <w:lang w:eastAsia="zh-CN"/>
        </w:rPr>
        <w:t>清晰地了解</w:t>
      </w:r>
      <w:r>
        <w:rPr>
          <w:rFonts w:hint="eastAsia" w:ascii="方正仿宋_GBK" w:hAnsi="方正仿宋_GBK"/>
          <w:snapToGrid w:val="0"/>
        </w:rPr>
        <w:t>，方便把握学习节奏。</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1.学习地图制作</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在线创建学习地图，定义地图基本信息、指定学习对象、设置闯关内容、推送给学员。闯关内容支持：知识、课件、课程、培训、考试、作业、链接等，并且支持设置证书，在学习完当前阶段所有必修内容后，则可以领取证书，同时还支持设置阶段评估人，学员在阶段学习过程中，评估人可参与检查学习情况，如果结算设置评估人，则需要评估人评估后才能进入下一个阶段学习。</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2.学员查看学习地图</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学习地图发布后，学员将收到学习通知，每个阶段到开始学习时间时，学员会收到相应的提醒，学员可以查看学习地图基本信息，地图闯关内容，查看地图学习情况。</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3.学习跟踪</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查看学员学习情况，包含闯关情况，阶段学习情况，并支持查看具体的明细。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4.学习地图查询</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查询学习地图分类信息，所有学习地图分类按树形结构展现，支持多层级。</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5.学习地图模板</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支持创建学习地图模板，在发起学习地图任务时，直接选择模板，不需要</w:t>
      </w:r>
      <w:r>
        <w:rPr>
          <w:rFonts w:hint="eastAsia" w:ascii="方正仿宋_GBK" w:hAnsi="方正仿宋_GBK"/>
          <w:snapToGrid w:val="0"/>
          <w:lang w:eastAsia="zh-CN"/>
        </w:rPr>
        <w:t>在</w:t>
      </w:r>
      <w:r>
        <w:rPr>
          <w:rFonts w:hint="eastAsia" w:ascii="方正仿宋_GBK" w:hAnsi="方正仿宋_GBK"/>
          <w:snapToGrid w:val="0"/>
        </w:rPr>
        <w:t>每次发布任务时设置学习内容。</w:t>
      </w:r>
    </w:p>
    <w:p>
      <w:pPr>
        <w:pStyle w:val="8"/>
        <w:kinsoku/>
        <w:wordWrap/>
        <w:topLinePunct w:val="0"/>
        <w:autoSpaceDE/>
        <w:autoSpaceDN/>
        <w:bidi w:val="0"/>
        <w:spacing w:before="198" w:after="198" w:line="560" w:lineRule="exact"/>
      </w:pPr>
      <w:r>
        <w:rPr>
          <w:rFonts w:hint="eastAsia"/>
        </w:rPr>
        <w:t>信息咨询</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专家在线、学员讨论圈等功能，对学习及培训过程中遇到的问题在此功能模块进行发布提问，学员之间能够进行互相的评论，集团的资深专家能够对相关行业、产品、领域问题进行答疑解惑。通过互动学习咨询，进一步提高学员的学习欲望及问题思考的主动性。</w:t>
      </w:r>
    </w:p>
    <w:p>
      <w:pPr>
        <w:pStyle w:val="8"/>
        <w:kinsoku/>
        <w:wordWrap/>
        <w:topLinePunct w:val="0"/>
        <w:autoSpaceDE/>
        <w:autoSpaceDN/>
        <w:bidi w:val="0"/>
        <w:spacing w:before="198" w:after="198" w:line="560" w:lineRule="exact"/>
      </w:pPr>
      <w:r>
        <w:rPr>
          <w:rFonts w:hint="eastAsia"/>
        </w:rPr>
        <w:t>全文搜索</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系统提供快速搜索功能，支持全文搜索，包括附件正文；全局搜索：同时搜索系统内课程、知识库、问答等内容；搜索范围和结果皆可按模块设定和展示；支持关键字模糊匹配。</w:t>
      </w:r>
    </w:p>
    <w:p>
      <w:pPr>
        <w:pStyle w:val="8"/>
        <w:kinsoku/>
        <w:wordWrap/>
        <w:topLinePunct w:val="0"/>
        <w:autoSpaceDE/>
        <w:autoSpaceDN/>
        <w:bidi w:val="0"/>
        <w:spacing w:before="198" w:after="198" w:line="560" w:lineRule="exact"/>
      </w:pPr>
      <w:r>
        <w:rPr>
          <w:rFonts w:hint="eastAsia"/>
        </w:rPr>
        <w:t>学员管理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系统支持学员管理功能，显示所有学员信息，对人员进行编辑、冻结、激活、重置密码及导出操作；可批量导入人员名单；离职人员自动锁定</w:t>
      </w:r>
      <w:r>
        <w:rPr>
          <w:rFonts w:hint="eastAsia" w:ascii="方正仿宋_GBK" w:hAnsi="方正仿宋_GBK"/>
          <w:snapToGrid w:val="0"/>
          <w:lang w:eastAsia="zh-CN"/>
        </w:rPr>
        <w:t>账号</w:t>
      </w:r>
      <w:r>
        <w:rPr>
          <w:rFonts w:hint="eastAsia" w:ascii="方正仿宋_GBK" w:hAnsi="方正仿宋_GBK"/>
          <w:snapToGrid w:val="0"/>
        </w:rPr>
        <w:t>。学员信息批量修改功能。支持排名功能（包含：学时排名、每个版块学习排名、考试成绩排名）。</w:t>
      </w:r>
    </w:p>
    <w:p>
      <w:pPr>
        <w:pStyle w:val="8"/>
        <w:kinsoku/>
        <w:wordWrap/>
        <w:topLinePunct w:val="0"/>
        <w:autoSpaceDE/>
        <w:autoSpaceDN/>
        <w:bidi w:val="0"/>
        <w:spacing w:before="198" w:after="198" w:line="560" w:lineRule="exact"/>
      </w:pPr>
      <w:r>
        <w:rPr>
          <w:rFonts w:hint="eastAsia"/>
        </w:rPr>
        <w:t>知识及课程管理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知识管理支持按照集团要求进行知识的分类，</w:t>
      </w:r>
      <w:r>
        <w:rPr>
          <w:rFonts w:hint="eastAsia" w:ascii="方正仿宋_GBK" w:hAnsi="方正仿宋_GBK"/>
          <w:snapToGrid w:val="0"/>
          <w:lang w:eastAsia="zh-CN"/>
        </w:rPr>
        <w:t>构建</w:t>
      </w:r>
      <w:r>
        <w:rPr>
          <w:rFonts w:hint="eastAsia" w:ascii="方正仿宋_GBK" w:hAnsi="方正仿宋_GBK"/>
          <w:snapToGrid w:val="0"/>
        </w:rPr>
        <w:t>集团科学的、规范的组织知识资产库，将集团中分散的知识管理起来，避免知识的流失。支持OFFICE所有格式外，还支持PDF、FLASH、视频、音频类等格式的管理，可以严格控制知识的查看、下载等相关权限。系统支持按照课程管理要求设置相应的权限，包括课程的上传审核权限、课程的查看权限、课程的观看权限、课程的下载权限等，可以设置相应的课程申请审批流程。支持课程评论，学员交流功能。</w:t>
      </w:r>
    </w:p>
    <w:p>
      <w:pPr>
        <w:pStyle w:val="7"/>
        <w:kinsoku/>
        <w:wordWrap/>
        <w:topLinePunct w:val="0"/>
        <w:autoSpaceDE/>
        <w:autoSpaceDN/>
        <w:bidi w:val="0"/>
        <w:spacing w:before="198" w:after="198" w:line="560" w:lineRule="exact"/>
        <w:rPr>
          <w:rFonts w:hint="default"/>
        </w:rPr>
      </w:pPr>
      <w:r>
        <w:t>时间管理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时间管理模块主要是对企业员工考勤与假期的管理。</w:t>
      </w:r>
    </w:p>
    <w:p>
      <w:pPr>
        <w:pStyle w:val="8"/>
        <w:kinsoku/>
        <w:wordWrap/>
        <w:topLinePunct w:val="0"/>
        <w:autoSpaceDE/>
        <w:autoSpaceDN/>
        <w:bidi w:val="0"/>
        <w:spacing w:before="198" w:after="198" w:line="560" w:lineRule="exact"/>
      </w:pPr>
      <w:r>
        <w:rPr>
          <w:rFonts w:hint="eastAsia"/>
        </w:rPr>
        <w:t>考勤管理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考勤管理模块提供对员工考勤数据的管理和分析，并将相关考勤记录自动引入薪酬管理。支持多种多样的考勤方式设置；支持假期余额管理，可针对所有类型假期进行假期余额规则设置，与请休假申请单自动关联与更新；支持移动端打卡、补卡、请假等流程。</w:t>
      </w:r>
    </w:p>
    <w:p>
      <w:pPr>
        <w:kinsoku/>
        <w:wordWrap/>
        <w:topLinePunct w:val="0"/>
        <w:autoSpaceDE/>
        <w:autoSpaceDN/>
        <w:bidi w:val="0"/>
        <w:spacing w:line="560" w:lineRule="exact"/>
        <w:ind w:left="604" w:leftChars="200" w:firstLine="0" w:firstLineChars="0"/>
        <w:rPr>
          <w:rFonts w:ascii="方正仿宋_GBK" w:hAnsi="方正仿宋_GBK"/>
          <w:snapToGrid w:val="0"/>
        </w:rPr>
      </w:pPr>
      <w:r>
        <w:rPr>
          <w:rFonts w:hint="eastAsia" w:ascii="方正仿宋_GBK" w:hAnsi="方正仿宋_GBK"/>
          <w:snapToGrid w:val="0"/>
        </w:rPr>
        <w:t>1.考勤规则设置</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自定义考勤项目，旷工次数、旷工小时数等。支持根据上班班次段的时间不同，支持设置不同的取卡规则。如上班取卡最早时间、下班取卡最晚时间、最短取卡间隔时间等都可以自定义设置。支持设置上下班取卡规则时设置取最早打卡点和取最晚打卡点两种取卡方式。</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灵活的班次设置，支持正常排班、周期排班、个人排班和不定期排班等排班方式。支持班次中设置加班的补偿方式，如加班计加班费，或加班计调休。系统支持轮班，支持根据部门或岗位工作性质、作息时间等特点，可制定不同的轮班规则，设置轮班周期内每一天指定一个班次。支持考勤排班时直接应用轮班规则，实现批量排班。</w:t>
      </w:r>
    </w:p>
    <w:p>
      <w:pPr>
        <w:kinsoku/>
        <w:wordWrap/>
        <w:topLinePunct w:val="0"/>
        <w:autoSpaceDE/>
        <w:autoSpaceDN/>
        <w:bidi w:val="0"/>
        <w:spacing w:line="560" w:lineRule="exact"/>
        <w:ind w:left="604" w:leftChars="200" w:firstLine="0" w:firstLineChars="0"/>
        <w:rPr>
          <w:rFonts w:ascii="方正仿宋_GBK" w:hAnsi="方正仿宋_GBK"/>
          <w:snapToGrid w:val="0"/>
        </w:rPr>
      </w:pPr>
      <w:r>
        <w:rPr>
          <w:rFonts w:hint="eastAsia" w:ascii="方正仿宋_GBK" w:hAnsi="方正仿宋_GBK"/>
          <w:snapToGrid w:val="0"/>
        </w:rPr>
        <w:t>2.考勤制度</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多种类型员工群体可以设置不同的考勤班组与制度。系统支持加班的认定，支持设置是否需要加班单，同时支持通过加班打卡自动生成加班单。支持设置每周、每天的工作小时数的工时考勤制度。支持对补签卡的次数、补签卡的时间进行控制。</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系统在不同的考勤制度中，可以根据制度设置考勤项目字段的计算规则，在打卡数据与排班规则进行冲销时按此计算规则计算出不同项目的值。</w:t>
      </w:r>
    </w:p>
    <w:p>
      <w:pPr>
        <w:kinsoku/>
        <w:wordWrap/>
        <w:topLinePunct w:val="0"/>
        <w:autoSpaceDE/>
        <w:autoSpaceDN/>
        <w:bidi w:val="0"/>
        <w:spacing w:line="560" w:lineRule="exact"/>
        <w:ind w:left="604" w:leftChars="200" w:firstLine="0" w:firstLineChars="0"/>
        <w:rPr>
          <w:rFonts w:ascii="方正仿宋_GBK" w:hAnsi="方正仿宋_GBK"/>
          <w:snapToGrid w:val="0"/>
        </w:rPr>
      </w:pPr>
      <w:r>
        <w:rPr>
          <w:rFonts w:hint="eastAsia" w:ascii="方正仿宋_GBK" w:hAnsi="方正仿宋_GBK"/>
          <w:snapToGrid w:val="0"/>
        </w:rPr>
        <w:t>3.排班管理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系统支持自动引用国家法定节假日、公休日进行假日及公休日定义排班，对适用于相同班次、相同考勤制度的员工，支持建立考勤组，在排班时可以</w:t>
      </w:r>
      <w:r>
        <w:rPr>
          <w:rFonts w:hint="eastAsia" w:ascii="方正仿宋_GBK" w:hAnsi="方正仿宋_GBK"/>
          <w:snapToGrid w:val="0"/>
          <w:lang w:eastAsia="zh-CN"/>
        </w:rPr>
        <w:t>快捷地过滤</w:t>
      </w:r>
      <w:r>
        <w:rPr>
          <w:rFonts w:hint="eastAsia" w:ascii="方正仿宋_GBK" w:hAnsi="方正仿宋_GBK"/>
          <w:snapToGrid w:val="0"/>
        </w:rPr>
        <w:t>出来实现快速排班。</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系统提供灵活的排班管理，可根据工作计划对不同职员、不同职位、考勤组及部门设置对应的轮班规则，既支持按月、按周、按天设置，也可以自定义时间段进行循环。</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系统支持通过授权，由各部门、班组对本部、班组的员工进行排班，实现分布排班模式。</w:t>
      </w:r>
    </w:p>
    <w:p>
      <w:pPr>
        <w:kinsoku/>
        <w:wordWrap/>
        <w:topLinePunct w:val="0"/>
        <w:autoSpaceDE/>
        <w:autoSpaceDN/>
        <w:bidi w:val="0"/>
        <w:spacing w:line="560" w:lineRule="exact"/>
        <w:ind w:left="604" w:leftChars="200" w:firstLine="0" w:firstLineChars="0"/>
        <w:rPr>
          <w:rFonts w:ascii="方正仿宋_GBK" w:hAnsi="方正仿宋_GBK"/>
          <w:snapToGrid w:val="0"/>
        </w:rPr>
      </w:pPr>
      <w:r>
        <w:rPr>
          <w:rFonts w:hint="eastAsia" w:ascii="方正仿宋_GBK" w:hAnsi="方正仿宋_GBK"/>
          <w:snapToGrid w:val="0"/>
        </w:rPr>
        <w:t>4.加班管控</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根据加班类型，划分为普通加班、周末加班、法定节假日加班。可以通过加班额度的控制来实现加班管控，可对员工加班额度进行管控，也可以按部门进行加班额度管控。支持根据个人加班额度管控规则，可以批量生成个人加班额度表，员工在提交加班单时，能根据额度值自动判断，超过管控额度则不能提交加班单。同时支持按部门进行加班额度和加班费管控。</w:t>
      </w:r>
    </w:p>
    <w:p>
      <w:pPr>
        <w:kinsoku/>
        <w:wordWrap/>
        <w:topLinePunct w:val="0"/>
        <w:autoSpaceDE/>
        <w:autoSpaceDN/>
        <w:bidi w:val="0"/>
        <w:spacing w:line="560" w:lineRule="exact"/>
        <w:ind w:left="604" w:leftChars="200" w:firstLine="0" w:firstLineChars="0"/>
        <w:rPr>
          <w:rFonts w:ascii="方正仿宋_GBK" w:hAnsi="方正仿宋_GBK"/>
          <w:snapToGrid w:val="0"/>
        </w:rPr>
      </w:pPr>
      <w:r>
        <w:rPr>
          <w:rFonts w:hint="eastAsia" w:ascii="方正仿宋_GBK" w:hAnsi="方正仿宋_GBK"/>
          <w:snapToGrid w:val="0"/>
        </w:rPr>
        <w:t>5.考勤打卡管理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考勤管理的数据支持多途径来源，包括传统的CPU卡考勤机，面部识别考勤机，以及智能手机端的移动签到等，都可以与考勤管理系统进行数据对接。系统支持出外勤的人员采用智能手机端的移动考勤应用，方便没有固定办公地点或暂不具备固定考勤机工作地点的考勤记录和汇总。</w:t>
      </w:r>
    </w:p>
    <w:p>
      <w:pPr>
        <w:kinsoku/>
        <w:wordWrap/>
        <w:topLinePunct w:val="0"/>
        <w:autoSpaceDE/>
        <w:autoSpaceDN/>
        <w:bidi w:val="0"/>
        <w:spacing w:line="560" w:lineRule="exact"/>
        <w:ind w:left="604" w:leftChars="200" w:firstLine="0" w:firstLineChars="0"/>
        <w:rPr>
          <w:rFonts w:ascii="方正仿宋_GBK" w:hAnsi="方正仿宋_GBK"/>
          <w:snapToGrid w:val="0"/>
        </w:rPr>
      </w:pPr>
      <w:r>
        <w:rPr>
          <w:rFonts w:hint="eastAsia" w:ascii="方正仿宋_GBK" w:hAnsi="方正仿宋_GBK"/>
          <w:snapToGrid w:val="0"/>
        </w:rPr>
        <w:t>6.日常考勤管理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系统支持员工考勤档案管理，显示每个员工所属的考勤制度、假期制度、班次等信息。支持对员工的打卡数据进行详细查询，包括打卡时间点、打卡来源、打卡位置等。</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系统中员工或部门考勤员可以在线向部门经理提出加班、休假、公出等各类申请，部门经理可以网上审批，人力资源部进行审核确认，也可以由人力资源部集中进行日常考勤登记。</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出差单管理、加班单管理、补签卡管理员工出差单据中的出差起始时间，经审核通过后，会被读取进行考勤计算。系统中员工可以自助提交补卡申请，经工作流审批后，补卡信息进入补签卡列表。经审核通过后的补签卡数据，会被读取进行考勤计算。支持出勤记录综合查询，支持查询到员工在不同时期的打卡、请假、出差、加班等记录信息。</w:t>
      </w:r>
    </w:p>
    <w:p>
      <w:pPr>
        <w:kinsoku/>
        <w:wordWrap/>
        <w:topLinePunct w:val="0"/>
        <w:autoSpaceDE/>
        <w:autoSpaceDN/>
        <w:bidi w:val="0"/>
        <w:spacing w:line="560" w:lineRule="exact"/>
        <w:ind w:left="604" w:leftChars="200" w:firstLine="0" w:firstLineChars="0"/>
        <w:rPr>
          <w:rFonts w:ascii="方正仿宋_GBK" w:hAnsi="方正仿宋_GBK"/>
          <w:snapToGrid w:val="0"/>
        </w:rPr>
      </w:pPr>
      <w:r>
        <w:rPr>
          <w:rFonts w:hint="eastAsia" w:ascii="方正仿宋_GBK" w:hAnsi="方正仿宋_GBK"/>
          <w:snapToGrid w:val="0"/>
        </w:rPr>
        <w:t>7.考勤计算</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系统支持一个考勤周期（例如每月）结束自动根据员工的打卡、出差、请假、加班、补卡等数据，结合排班规则进行匹配计算，计算出员工的应出勤数据、实际出勤数据。</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系统在考勤计算完毕后，支持考勤明细模式下通过勾选旷工、迟到、早退、请假、加班、出差等不同状态，便捷</w:t>
      </w:r>
      <w:r>
        <w:rPr>
          <w:rFonts w:hint="eastAsia" w:ascii="方正仿宋_GBK" w:hAnsi="方正仿宋_GBK"/>
          <w:snapToGrid w:val="0"/>
          <w:lang w:eastAsia="zh-CN"/>
        </w:rPr>
        <w:t>快速地筛选</w:t>
      </w:r>
      <w:r>
        <w:rPr>
          <w:rFonts w:hint="eastAsia" w:ascii="方正仿宋_GBK" w:hAnsi="方正仿宋_GBK"/>
          <w:snapToGrid w:val="0"/>
        </w:rPr>
        <w:t>出对应的明细数据。</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系统支持考勤计算后的明细数据核实无误后，通过审核操作锁定考勤计算数据。如遇特殊情况在审核后仍需要修改，可以对审核后的考勤数据进行反审核操作，即可再度修改。</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系统支持通过工作流审批后的考勤明细数据，可以调出其对应的流程单据进行检查。支持考勤计算数据审核操作后，考勤汇总数据可以直接转到薪酬核算系统中参与薪资计算。</w:t>
      </w:r>
    </w:p>
    <w:p>
      <w:pPr>
        <w:kinsoku/>
        <w:wordWrap/>
        <w:topLinePunct w:val="0"/>
        <w:autoSpaceDE/>
        <w:autoSpaceDN/>
        <w:bidi w:val="0"/>
        <w:spacing w:line="560" w:lineRule="exact"/>
        <w:ind w:left="604" w:leftChars="200" w:firstLine="0" w:firstLineChars="0"/>
        <w:rPr>
          <w:rFonts w:ascii="方正仿宋_GBK" w:hAnsi="方正仿宋_GBK"/>
          <w:snapToGrid w:val="0"/>
        </w:rPr>
      </w:pPr>
      <w:r>
        <w:rPr>
          <w:rFonts w:hint="eastAsia" w:ascii="方正仿宋_GBK" w:hAnsi="方正仿宋_GBK"/>
          <w:snapToGrid w:val="0"/>
        </w:rPr>
        <w:t>8.考勤报表</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系统支持对考勤结果明细表、考勤结果汇总表等自定义考勤统计报表。支持自定义考勤报表，自定义考勤统计表中，支持通过多种统计图形进行展示。</w:t>
      </w:r>
    </w:p>
    <w:p>
      <w:pPr>
        <w:pStyle w:val="8"/>
        <w:kinsoku/>
        <w:wordWrap/>
        <w:topLinePunct w:val="0"/>
        <w:autoSpaceDE/>
        <w:autoSpaceDN/>
        <w:bidi w:val="0"/>
        <w:spacing w:before="198" w:after="198" w:line="560" w:lineRule="exact"/>
      </w:pPr>
      <w:r>
        <w:rPr>
          <w:rFonts w:hint="eastAsia"/>
        </w:rPr>
        <w:t>休假管理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休假管理模块提供员工休假数据的管理和分析，依据劳动法及企业内部休假管理办法系统可以实现假期天数的分配，可以记录休假申请、休假记录等各种考勤信息，并进行休假月报的统计。实现休假申请、审批、记录等全流程管理，规范企业休假流程。</w:t>
      </w:r>
    </w:p>
    <w:p>
      <w:pPr>
        <w:kinsoku/>
        <w:wordWrap/>
        <w:topLinePunct w:val="0"/>
        <w:autoSpaceDE/>
        <w:autoSpaceDN/>
        <w:bidi w:val="0"/>
        <w:spacing w:line="560" w:lineRule="exact"/>
        <w:ind w:left="604" w:leftChars="200" w:firstLine="0" w:firstLineChars="0"/>
        <w:rPr>
          <w:rFonts w:ascii="方正仿宋_GBK" w:hAnsi="方正仿宋_GBK"/>
          <w:snapToGrid w:val="0"/>
        </w:rPr>
      </w:pPr>
      <w:r>
        <w:rPr>
          <w:rFonts w:hint="eastAsia" w:ascii="方正仿宋_GBK" w:hAnsi="方正仿宋_GBK"/>
          <w:snapToGrid w:val="0"/>
        </w:rPr>
        <w:t>1.假期额度管理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假勤管理支持假期规则设置自定义，假期审批使用协同工作流引擎，完全保留领导与各级员工使用习惯。假期审批中的休假类型、休假天数、年假剩余天数信息统计直接关联至休假管理模块，支持对于超过休假时限规定的休假申请进行流程发起限制或审批预警。</w:t>
      </w:r>
    </w:p>
    <w:p>
      <w:pPr>
        <w:kinsoku/>
        <w:wordWrap/>
        <w:topLinePunct w:val="0"/>
        <w:autoSpaceDE/>
        <w:autoSpaceDN/>
        <w:bidi w:val="0"/>
        <w:spacing w:line="560" w:lineRule="exact"/>
        <w:ind w:left="604" w:leftChars="200" w:firstLine="0" w:firstLineChars="0"/>
        <w:rPr>
          <w:rFonts w:ascii="方正仿宋_GBK" w:hAnsi="方正仿宋_GBK"/>
          <w:snapToGrid w:val="0"/>
        </w:rPr>
      </w:pPr>
      <w:r>
        <w:rPr>
          <w:rFonts w:hint="eastAsia" w:ascii="方正仿宋_GBK" w:hAnsi="方正仿宋_GBK"/>
          <w:snapToGrid w:val="0"/>
        </w:rPr>
        <w:t>2.休假规则管理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系统支持根据单位不同类型的员工群体定义不同的假期制度。系统支持半天假、请假优先级、补请假控制、销假的控制、年假额度控制、请假次数控制等多种假期规则。同时支持请假附件控制与假期起始值控制。</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其中年休假可按自然年和员工雇佣日期，也可自定义公式计算员工年休假。员工年假的首年生效日期，可按入职日期、转正日期或入职满1年等方式进行选择；也可自定义公式计算出；员工因故未及时休的年假，可以设置延期，延期时长可自定义。</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支持加班计调休的情况，支持设置调休期限控制等控制因素。支持对工作日加班、休息日加班和法定假日加班，可以分别设置调休比例，如法定假日可设置加班1天休3天。</w:t>
      </w:r>
    </w:p>
    <w:p>
      <w:pPr>
        <w:kinsoku/>
        <w:wordWrap/>
        <w:topLinePunct w:val="0"/>
        <w:autoSpaceDE/>
        <w:autoSpaceDN/>
        <w:bidi w:val="0"/>
        <w:spacing w:line="560" w:lineRule="exact"/>
        <w:ind w:left="604" w:leftChars="200" w:firstLine="0" w:firstLineChars="0"/>
        <w:rPr>
          <w:rFonts w:ascii="方正仿宋_GBK" w:hAnsi="方正仿宋_GBK"/>
          <w:snapToGrid w:val="0"/>
        </w:rPr>
      </w:pPr>
      <w:r>
        <w:rPr>
          <w:rFonts w:hint="eastAsia" w:ascii="方正仿宋_GBK" w:hAnsi="方正仿宋_GBK"/>
          <w:snapToGrid w:val="0"/>
        </w:rPr>
        <w:t>3.请假销假管理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员工可以自助提交请假申请单，申请单中可以看到年假、事假等的剩余额度，并受其限制。系统中员工支持自助提交销假流程，销假单会按照实际的休假日期进行销假，不能超出请假单的请假范围。支持对不能用电脑或手机请假的部门，可由部门内勤员工提交假期申请或销假申请，并且可同时提交多人的申请。请假、销假申请支持电子审批流程进行审批，或</w:t>
      </w:r>
      <w:r>
        <w:rPr>
          <w:rFonts w:hint="eastAsia" w:ascii="方正仿宋_GBK" w:hAnsi="方正仿宋_GBK"/>
          <w:snapToGrid w:val="0"/>
          <w:lang w:eastAsia="zh-CN"/>
        </w:rPr>
        <w:t>无需</w:t>
      </w:r>
      <w:r>
        <w:rPr>
          <w:rFonts w:hint="eastAsia" w:ascii="方正仿宋_GBK" w:hAnsi="方正仿宋_GBK"/>
          <w:snapToGrid w:val="0"/>
        </w:rPr>
        <w:t>审批直接生效。</w:t>
      </w:r>
    </w:p>
    <w:p>
      <w:pPr>
        <w:kinsoku/>
        <w:wordWrap/>
        <w:topLinePunct w:val="0"/>
        <w:autoSpaceDE/>
        <w:autoSpaceDN/>
        <w:bidi w:val="0"/>
        <w:spacing w:line="560" w:lineRule="exact"/>
        <w:ind w:left="604" w:leftChars="200" w:firstLine="0" w:firstLineChars="0"/>
        <w:rPr>
          <w:rFonts w:ascii="方正仿宋_GBK" w:hAnsi="方正仿宋_GBK"/>
          <w:snapToGrid w:val="0"/>
        </w:rPr>
      </w:pPr>
      <w:r>
        <w:rPr>
          <w:rFonts w:hint="eastAsia" w:ascii="方正仿宋_GBK" w:hAnsi="方正仿宋_GBK"/>
          <w:snapToGrid w:val="0"/>
        </w:rPr>
        <w:t>4.假期报表</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系统支持假期汇总表、调休明细表等报表。同时支持自定义假期统计报表，支持自定义假期统计报表，自定义假期统计表中，还可以通过多种统计图形进行展示。</w:t>
      </w:r>
    </w:p>
    <w:p>
      <w:pPr>
        <w:pStyle w:val="7"/>
        <w:kinsoku/>
        <w:wordWrap/>
        <w:topLinePunct w:val="0"/>
        <w:autoSpaceDE/>
        <w:autoSpaceDN/>
        <w:bidi w:val="0"/>
        <w:spacing w:before="198" w:after="198" w:line="560" w:lineRule="exact"/>
        <w:rPr>
          <w:rFonts w:hint="default"/>
        </w:rPr>
      </w:pPr>
      <w:r>
        <w:t>社保福利</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社会保险福利管理系统可有效管控社会保险的业务流程和信息，帮助企业减少大量的手工处理工作量，能自动同步社保局与税务局数据，做到社保福利与个税自动生成，提高HR工作效率。包括保险福利计划制定、参保员工信息的维护、查询、统计等。</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对常见的社会保险种类进行管理，如养老保险、医疗保险、补充医疗保险、失业保险、工伤保险、生育保险、住房公积金、企业年金、补充公积金；可以根据企业应用需要，设置自定义的险种支持设置不同地区的五险一金（养老保险、医疗保险、失业保险、工伤保险和生育保险，住房公积金）缴交规则，以及每个险种的缴费比例和缴费基数。支持对员工建立社保档案，用于核算社保时引用，包括参保地、参保项目、缴费基数等管理。系统通过各项社保比例和基数的计算，可以查看每个员工的实际缴纳值。</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员工社保在薪酬核算的社保计算公式中能自动计算出公司和个人承担的缴费额度，在薪酬计算时自动代扣。系统社保计算公式可以灵活调整，以匹配社保和住房公积金等相关政策变化。支持社保系统、住房公积金系统、年金系统等业务系统缴费数据的批量导入，自动对缴费数据进行匹配核对；支持对缴费差异进行补缴、补扣。可对企业福利项目进行维护和管理，对于企业福利享受人员情况进行记录和维护。支持社会保险、住房公积金和企业年金统计功能，分单位、按年份统计各月明细，支持EXCEL、文本格式明细导出。</w:t>
      </w:r>
    </w:p>
    <w:p>
      <w:pPr>
        <w:pStyle w:val="7"/>
        <w:kinsoku/>
        <w:wordWrap/>
        <w:topLinePunct w:val="0"/>
        <w:autoSpaceDE/>
        <w:autoSpaceDN/>
        <w:bidi w:val="0"/>
        <w:spacing w:before="198" w:after="198" w:line="560" w:lineRule="exact"/>
        <w:rPr>
          <w:rFonts w:hint="default"/>
        </w:rPr>
      </w:pPr>
      <w:r>
        <w:t>绩效管理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绩效管理主要面向人力资源部门的绩效管理员，以及绩效考评参与者（被考核人和考核人）。通过信息化手段，绩效考核分为事前计划和事后结果评价两个主要阶段，能同时支持集团的多种绩效考核模式，事前计划包括目标设定、目标分解，事后结果包括绩效评价等。</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支持目标考核、KPI考核、OKR考核、日清月结、关键事件考核、360测评等多种考核模式下的绩效管理全流程管理，包括组织绩效和个人绩效。</w:t>
      </w:r>
    </w:p>
    <w:p>
      <w:pPr>
        <w:pStyle w:val="8"/>
        <w:kinsoku/>
        <w:wordWrap/>
        <w:topLinePunct w:val="0"/>
        <w:autoSpaceDE/>
        <w:autoSpaceDN/>
        <w:bidi w:val="0"/>
        <w:spacing w:before="198" w:after="198" w:line="560" w:lineRule="exact"/>
      </w:pPr>
      <w:r>
        <w:rPr>
          <w:rFonts w:hint="eastAsia"/>
        </w:rPr>
        <w:t>绩效指标库</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从财务、客户、流程、学习成长及其他维度将绩效指标分类分层管理，形成统一、规范的绩效考核指标库。支持在设置周期绩效考核方案时，可以从绩效指标库直接引用指标。绩效考核指标可设置定性指标和定量指标，定性指标支持设定打分参考标准，定量指标支持根据数值和百分比可以自动计算结果分数。</w:t>
      </w:r>
    </w:p>
    <w:p>
      <w:pPr>
        <w:pStyle w:val="8"/>
        <w:kinsoku/>
        <w:wordWrap/>
        <w:topLinePunct w:val="0"/>
        <w:autoSpaceDE/>
        <w:autoSpaceDN/>
        <w:bidi w:val="0"/>
        <w:spacing w:before="198" w:after="198" w:line="560" w:lineRule="exact"/>
      </w:pPr>
      <w:r>
        <w:rPr>
          <w:rFonts w:hint="eastAsia"/>
        </w:rPr>
        <w:t>绩效考核方案管理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系统支持在组织绩效应用中</w:t>
      </w:r>
      <w:r>
        <w:rPr>
          <w:rFonts w:hint="eastAsia" w:ascii="方正仿宋_GBK" w:hAnsi="方正仿宋_GBK"/>
          <w:snapToGrid w:val="0"/>
          <w:lang w:eastAsia="zh-CN"/>
        </w:rPr>
        <w:t>，</w:t>
      </w:r>
      <w:r>
        <w:rPr>
          <w:rFonts w:hint="eastAsia" w:ascii="方正仿宋_GBK" w:hAnsi="方正仿宋_GBK"/>
          <w:snapToGrid w:val="0"/>
        </w:rPr>
        <w:t>对不同群体的人员应用不同的评估原则、评估指标体系、评估流程、评估周期等，形成多套绩效考核方案。系统支持组织绩效考核方案和个人绩效考核方案。</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根据考核的时间范围，设定考核周期，支持按月度、季度、半年度、年度为单位设置考核周期。系统支持对考核对象中的不同群体进行分组的方式，设置不同的考核指标与考核模板。在不同目标分组中，支持设置相应的绩效指标和具体的被考评人员。</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系统中设置考评指标时，可以直接从绩效指标库中进行直接引用，同时支持即时新增。支持批量导入指标功能。</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对被考评者评分时，支持按指标权重加权计算和按指标分值相加等两种总分合计规则。支持表现特别优秀的被考评者，评分时允许超出评估总分上限，以附加分形式给予特别奖励。支持考评者的目标评估，可以自定义评估工作流，每个节点可设置不同的权重，每个指标可以设置不同的考评人，每个节点的考评人可以是被考评者有行政管辖关系的直接上级或间接上级，也可以是没有行政关系的指定职位或人员。绩效考核方案建立后，管理者可以看到本人和下属的绩效指标。</w:t>
      </w:r>
    </w:p>
    <w:p>
      <w:pPr>
        <w:pStyle w:val="8"/>
        <w:kinsoku/>
        <w:wordWrap/>
        <w:topLinePunct w:val="0"/>
        <w:autoSpaceDE/>
        <w:autoSpaceDN/>
        <w:bidi w:val="0"/>
        <w:spacing w:before="198" w:after="198" w:line="560" w:lineRule="exact"/>
      </w:pPr>
      <w:r>
        <w:rPr>
          <w:rFonts w:hint="eastAsia"/>
        </w:rPr>
        <w:t>考核过程控制</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系统支持在考核过程中，参与评分的人员会收到绩效考核评分任务，本人收到自评任务，上级收到对下级的指标评分任务，支持定性指标评分人通过手动打分，支持定量指标根据业务数据，自动计算出对应分数。</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支持绩效管理员在后台可以对绩效指标评分过程实时监控考核进展，对较长时间未做评估处理的，业务主管和绩效管理专员可以流程催办的方式向当前节点人发送消息，督促考核人在评估期内按时完成考核任务。</w:t>
      </w:r>
    </w:p>
    <w:p>
      <w:pPr>
        <w:pStyle w:val="8"/>
        <w:kinsoku/>
        <w:wordWrap/>
        <w:topLinePunct w:val="0"/>
        <w:autoSpaceDE/>
        <w:autoSpaceDN/>
        <w:bidi w:val="0"/>
        <w:spacing w:before="198" w:after="198" w:line="560" w:lineRule="exact"/>
      </w:pPr>
      <w:r>
        <w:rPr>
          <w:rFonts w:hint="eastAsia"/>
        </w:rPr>
        <w:t>考核结果应用</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在考核评估完成之后员工申诉，如申诉获得上级支持则支持对评估分数进行修订。同时支持考核结果分数、等级设置分布规则，支持按评分高低自动转换成绩效等级，支持设置是否允许手动调整等级分布。</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系统支持绩效管理员对考核结果提交审核，审核后的绩效结果数据支持计入薪酬核算系统中，作为绩效奖金计算的参考依据。</w:t>
      </w:r>
    </w:p>
    <w:p>
      <w:pPr>
        <w:kinsoku/>
        <w:wordWrap/>
        <w:topLinePunct w:val="0"/>
        <w:autoSpaceDE/>
        <w:autoSpaceDN/>
        <w:bidi w:val="0"/>
        <w:spacing w:line="560" w:lineRule="exact"/>
        <w:ind w:firstLine="604"/>
      </w:pPr>
      <w:r>
        <w:rPr>
          <w:rFonts w:hint="eastAsia"/>
        </w:rPr>
        <w:t>管理员发布考核结果后，可实现考核结果的分权限查询（绩效管理者可查看本单位所有员工绩效情况、上级可查看下属绩效情况、员工可以查看本人绩效情况）。</w:t>
      </w:r>
    </w:p>
    <w:p>
      <w:pPr>
        <w:pStyle w:val="8"/>
        <w:kinsoku/>
        <w:wordWrap/>
        <w:topLinePunct w:val="0"/>
        <w:autoSpaceDE/>
        <w:autoSpaceDN/>
        <w:bidi w:val="0"/>
        <w:spacing w:before="198" w:after="198" w:line="560" w:lineRule="exact"/>
      </w:pPr>
      <w:r>
        <w:rPr>
          <w:rFonts w:hint="eastAsia"/>
        </w:rPr>
        <w:t>绩效报表</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按考核周期查询员工个人目标考核结果，包括考核分数、修订分数、对应的绩效等级等，还可以穿透查询该员工的评估表详细信息和历史评估成绩。系统通过对同一考核周期员工在多个考核方案的分数进行汇总，形成绩效结果汇总表，更</w:t>
      </w:r>
      <w:r>
        <w:rPr>
          <w:rFonts w:hint="eastAsia" w:ascii="方正仿宋_GBK" w:hAnsi="方正仿宋_GBK"/>
          <w:snapToGrid w:val="0"/>
          <w:lang w:eastAsia="zh-CN"/>
        </w:rPr>
        <w:t>客观地反映</w:t>
      </w:r>
      <w:r>
        <w:rPr>
          <w:rFonts w:hint="eastAsia" w:ascii="方正仿宋_GBK" w:hAnsi="方正仿宋_GBK"/>
          <w:snapToGrid w:val="0"/>
        </w:rPr>
        <w:t>员工的绩效结果。</w:t>
      </w:r>
    </w:p>
    <w:p>
      <w:pPr>
        <w:pStyle w:val="7"/>
        <w:kinsoku/>
        <w:wordWrap/>
        <w:topLinePunct w:val="0"/>
        <w:autoSpaceDE/>
        <w:autoSpaceDN/>
        <w:bidi w:val="0"/>
        <w:spacing w:before="198" w:after="198" w:line="560" w:lineRule="exact"/>
        <w:rPr>
          <w:rFonts w:hint="default"/>
        </w:rPr>
      </w:pPr>
      <w:r>
        <w:t>薪酬管理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将企业结合职位/职务价值设计的宽带薪酬或薪点薪酬等标准在系统中落实，作为员工定薪调薪的参考标准和依据。在员工任职过程中，综合收集员工的出勤、绩效、津贴、社保、公积金、扣税标准等相关数据，按预设规则进行月度薪酬核算，或者进行半年度、年度奖金发放。由此产生的人力成本，可以形成费用分配进入财务系统生成凭证，纳入公司财务统一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在系统预置薪酬模板功能，支持集团自行定义薪酬模板内容，可以随时调整已有的薪酬模板并生成工资账套。用户可根据本单位已定义好的薪酬类别定义计算公式，支持多套薪酬核算方式，薪酬中五险一金与个税自动计算并扣除。薪酬核算后生成工资条发放给员工，员工能通过工资条点击穿透到薪资构成。</w:t>
      </w:r>
    </w:p>
    <w:p>
      <w:pPr>
        <w:kinsoku/>
        <w:wordWrap/>
        <w:topLinePunct w:val="0"/>
        <w:autoSpaceDE/>
        <w:autoSpaceDN/>
        <w:bidi w:val="0"/>
        <w:spacing w:line="560" w:lineRule="exact"/>
        <w:ind w:firstLine="604"/>
        <w:rPr>
          <w:rFonts w:ascii="Times New Roman" w:hAnsi="Times New Roman"/>
          <w:snapToGrid w:val="0"/>
        </w:rPr>
      </w:pPr>
      <w:r>
        <w:rPr>
          <w:rFonts w:hint="eastAsia" w:ascii="Times New Roman" w:hAnsi="Times New Roman"/>
          <w:snapToGrid w:val="0"/>
        </w:rPr>
        <w:t>主要包括：工资账套、工资核算、工资条、工资数据分析等。</w:t>
      </w:r>
    </w:p>
    <w:p>
      <w:pPr>
        <w:kinsoku/>
        <w:wordWrap/>
        <w:topLinePunct w:val="0"/>
        <w:autoSpaceDE/>
        <w:autoSpaceDN/>
        <w:bidi w:val="0"/>
        <w:spacing w:line="560" w:lineRule="exact"/>
        <w:ind w:firstLine="604"/>
      </w:pPr>
      <w:r>
        <w:rPr>
          <w:rFonts w:hint="eastAsia"/>
        </w:rPr>
        <w:t>与考勤休假系统链接，根据员工考勤情况调整员工薪资，自动关联。</w:t>
      </w:r>
    </w:p>
    <w:p>
      <w:pPr>
        <w:kinsoku/>
        <w:wordWrap/>
        <w:topLinePunct w:val="0"/>
        <w:autoSpaceDE/>
        <w:autoSpaceDN/>
        <w:bidi w:val="0"/>
        <w:spacing w:line="560" w:lineRule="exact"/>
        <w:ind w:firstLine="604"/>
      </w:pPr>
      <w:r>
        <w:t>与考核系统链接，根据员工考核情况调整员工薪资或计发奖金。</w:t>
      </w:r>
    </w:p>
    <w:p>
      <w:pPr>
        <w:pStyle w:val="8"/>
        <w:kinsoku/>
        <w:wordWrap/>
        <w:topLinePunct w:val="0"/>
        <w:autoSpaceDE/>
        <w:autoSpaceDN/>
        <w:bidi w:val="0"/>
        <w:spacing w:before="198" w:after="198" w:line="560" w:lineRule="exact"/>
      </w:pPr>
      <w:r>
        <w:rPr>
          <w:rFonts w:hint="eastAsia"/>
        </w:rPr>
        <w:t>工资账套</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工资账套设计支持不同机构由不同的薪资管理人员分别设定薪资账套计算规则，互不干扰，支持管理权限控制。支持同一公司的不同用工类别、不同薪资结构及处理流程使用不同的薪资账套，各种不同薪资账套制定各自不同薪资核算方法。通过账套与人员的匹配关系处理工资核算全过程，支持系统自动完成每次工资核算任务，生成工资结果。</w:t>
      </w:r>
    </w:p>
    <w:p>
      <w:pPr>
        <w:pStyle w:val="8"/>
        <w:kinsoku/>
        <w:wordWrap/>
        <w:topLinePunct w:val="0"/>
        <w:autoSpaceDE/>
        <w:autoSpaceDN/>
        <w:bidi w:val="0"/>
        <w:spacing w:before="198" w:after="198" w:line="560" w:lineRule="exact"/>
      </w:pPr>
      <w:r>
        <w:rPr>
          <w:rFonts w:hint="eastAsia"/>
        </w:rPr>
        <w:t>工资核算</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系统提供向导式的薪资核算步骤指引，薪酬发放支持按期或按次进行结账。按期支持以月、季、年为期，按次支持每期可以分多次发放和结账。</w:t>
      </w:r>
    </w:p>
    <w:p>
      <w:pPr>
        <w:pStyle w:val="8"/>
        <w:kinsoku/>
        <w:wordWrap/>
        <w:topLinePunct w:val="0"/>
        <w:autoSpaceDE/>
        <w:autoSpaceDN/>
        <w:bidi w:val="0"/>
        <w:spacing w:before="198" w:after="198" w:line="560" w:lineRule="exact"/>
      </w:pPr>
      <w:r>
        <w:rPr>
          <w:rFonts w:hint="eastAsia"/>
        </w:rPr>
        <w:t>工资条</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工资发放完毕后，支持员工在个人端通过二次密码验证查看当前及历史全部工资条，并且能够对工资条进行导出打印。</w:t>
      </w:r>
    </w:p>
    <w:p>
      <w:pPr>
        <w:pStyle w:val="8"/>
        <w:kinsoku/>
        <w:wordWrap/>
        <w:topLinePunct w:val="0"/>
        <w:autoSpaceDE/>
        <w:autoSpaceDN/>
        <w:bidi w:val="0"/>
        <w:spacing w:before="198" w:after="198" w:line="560" w:lineRule="exact"/>
      </w:pPr>
      <w:r>
        <w:rPr>
          <w:rFonts w:hint="eastAsia"/>
        </w:rPr>
        <w:t>工资数据分析</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提供强大的工资分析功能，可按部门、岗位、级别等分析各类工资项目的总额、比例、平均值、最高值、最低值等。系统提供历史工资分析功能，能以多种形式进行工资增幅的比较分析。</w:t>
      </w:r>
    </w:p>
    <w:p>
      <w:pPr>
        <w:pStyle w:val="8"/>
        <w:kinsoku/>
        <w:wordWrap/>
        <w:topLinePunct w:val="0"/>
        <w:autoSpaceDE/>
        <w:autoSpaceDN/>
        <w:bidi w:val="0"/>
        <w:spacing w:before="198" w:after="198" w:line="560" w:lineRule="exact"/>
      </w:pPr>
      <w:r>
        <w:rPr>
          <w:rFonts w:hint="eastAsia"/>
        </w:rPr>
        <w:t>薪酬报表</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薪酬报表支持薪酬明细表、薪酬汇总表、薪酬对比分析表、薪酬成本分摊表等多种复合报表，系统支持自定义薪酬查询报表，提供自定义的报表查询，可通过配置查询方案方式快速形成想要的报表，通过权限支持导出Excel。</w:t>
      </w:r>
    </w:p>
    <w:p>
      <w:pPr>
        <w:pStyle w:val="8"/>
        <w:kinsoku/>
        <w:wordWrap/>
        <w:topLinePunct w:val="0"/>
        <w:autoSpaceDE/>
        <w:autoSpaceDN/>
        <w:bidi w:val="0"/>
        <w:spacing w:before="198" w:after="198" w:line="560" w:lineRule="exact"/>
      </w:pPr>
      <w:r>
        <w:rPr>
          <w:rFonts w:hint="eastAsia"/>
        </w:rPr>
        <w:t>薪酬档案管理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员工薪酬档案是计算薪酬的基础资料库，其中包括员工基本人事信息、银行账号、核算组织、费用承担组织等。对项目信息不完整的，可以通过Excel批量导入系统。系统薪酬档案中，每个员工对应不同的薪酬分类、薪酬结构、计算规则，即不同群体有不一样的薪酬制度或规则；薪酬档案维护时会引用具体的银行名称，支持一人对应多个银行账户管理。</w:t>
      </w:r>
    </w:p>
    <w:p>
      <w:pPr>
        <w:pStyle w:val="8"/>
        <w:kinsoku/>
        <w:wordWrap/>
        <w:topLinePunct w:val="0"/>
        <w:autoSpaceDE/>
        <w:autoSpaceDN/>
        <w:bidi w:val="0"/>
        <w:spacing w:before="198" w:after="198" w:line="560" w:lineRule="exact"/>
      </w:pPr>
      <w:r>
        <w:rPr>
          <w:rFonts w:hint="eastAsia"/>
        </w:rPr>
        <w:t>薪酬计算规则</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企业可以根据业务需要自定义不同的薪酬项目，供计算公式设计时引用；</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对薪酬项目可以设置业务数据是否自动带到下一个薪酬发放期间；可以设置是否纳入费用分摊项目；可以设置是否在工资条中显示，或值为零时是否在工资条中显示；</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根据企业不同组织、不同类别、不同群体的员工，可以设置多套薪酬计算规则；</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每套薪酬计算规则下，可以自定义需要的薪酬计算公式，包括应发、实发、代扣代缴等；</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薪酬计算公式应提供中、英文函数，使得稍具计算机知识的用户都可以方便自如的定义各种复杂的计算公式。</w:t>
      </w:r>
    </w:p>
    <w:p>
      <w:pPr>
        <w:pStyle w:val="8"/>
        <w:kinsoku/>
        <w:wordWrap/>
        <w:topLinePunct w:val="0"/>
        <w:autoSpaceDE/>
        <w:autoSpaceDN/>
        <w:bidi w:val="0"/>
        <w:spacing w:before="198" w:after="198" w:line="560" w:lineRule="exact"/>
      </w:pPr>
      <w:r>
        <w:rPr>
          <w:rFonts w:hint="eastAsia"/>
        </w:rPr>
        <w:t>个人所得税计算</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提供不同的个税计算函数，包括代扣税函数、全年一次性奖金计税函数、倒算税前工资函数等，可直接调用进行个税计算。系统支持准确计算个税，支持多次发放、不规则不定期零星发放情况下个人所得税的计算，提供与个人所得税申报扣缴软件之间的数据接口，提供专项附加扣除信息导入导出</w:t>
      </w:r>
      <w:r>
        <w:rPr>
          <w:rFonts w:hint="eastAsia" w:ascii="方正仿宋_GBK" w:hAnsi="方正仿宋_GBK"/>
          <w:snapToGrid w:val="0"/>
          <w:lang w:eastAsia="zh-CN"/>
        </w:rPr>
        <w:t>模板</w:t>
      </w:r>
      <w:r>
        <w:rPr>
          <w:rFonts w:hint="eastAsia" w:ascii="方正仿宋_GBK" w:hAnsi="方正仿宋_GBK"/>
          <w:snapToGrid w:val="0"/>
        </w:rPr>
        <w:t>、个人所得税申报模板，根据薪资数据自动提取个税所得税申报表。</w:t>
      </w:r>
    </w:p>
    <w:p>
      <w:pPr>
        <w:pStyle w:val="8"/>
        <w:kinsoku/>
        <w:wordWrap/>
        <w:topLinePunct w:val="0"/>
        <w:autoSpaceDE/>
        <w:autoSpaceDN/>
        <w:bidi w:val="0"/>
        <w:spacing w:before="198" w:after="198" w:line="560" w:lineRule="exact"/>
      </w:pPr>
      <w:r>
        <w:rPr>
          <w:rFonts w:hint="eastAsia"/>
        </w:rPr>
        <w:t>薪酬费用记账</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系统支持薪酬发放完毕后，可以生成费用分配单，明确费用的承担组织。同时支持费用分配单生成后，可以提交财务，进入记账中心生成财务凭证。</w:t>
      </w:r>
    </w:p>
    <w:p>
      <w:pPr>
        <w:pStyle w:val="7"/>
        <w:kinsoku/>
        <w:wordWrap/>
        <w:topLinePunct w:val="0"/>
        <w:autoSpaceDE/>
        <w:autoSpaceDN/>
        <w:bidi w:val="0"/>
        <w:spacing w:before="198" w:after="198" w:line="560" w:lineRule="exact"/>
        <w:rPr>
          <w:rFonts w:hint="default"/>
        </w:rPr>
      </w:pPr>
      <w:r>
        <w:t>薪酬总额控制</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企业工资总额管理是根据集团对监管企业工资总额有关规定确定企业工资总额的系统。企业工资总额管理包括工效挂钩和总额计划两种管理方式，数据报送周期支持年度、季度、月度等方式。</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工资总额系统主要包括工效挂钩、总额计划、企业工资数据上报、工资计算、指标分析等功能。</w:t>
      </w:r>
    </w:p>
    <w:p>
      <w:pPr>
        <w:pStyle w:val="8"/>
        <w:kinsoku/>
        <w:wordWrap/>
        <w:topLinePunct w:val="0"/>
        <w:autoSpaceDE/>
        <w:autoSpaceDN/>
        <w:bidi w:val="0"/>
        <w:spacing w:before="198" w:after="198" w:line="560" w:lineRule="exact"/>
      </w:pPr>
      <w:r>
        <w:rPr>
          <w:rFonts w:hint="eastAsia"/>
        </w:rPr>
        <w:t>工效挂钩</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工效挂钩是对实行工效挂钩政策的企业实行的工资总额管理办法，企业根据办法和要求制定工资总额方案，应能填报上一年度工资基金清算表，并制定本年度工效挂钩方案上报集团。自主决定工资总额的企业按照“两低于”原则制定工资总额，即工资总额增长幅度低于效益增长幅度，人均工资增长幅度低于劳动生产率增长幅度，不得与企业人工成本利润率、劳动分配率、人事费用率相背离。实际工资增长不能超过提取的工资总额。</w:t>
      </w:r>
    </w:p>
    <w:p>
      <w:pPr>
        <w:pStyle w:val="8"/>
        <w:kinsoku/>
        <w:wordWrap/>
        <w:topLinePunct w:val="0"/>
        <w:autoSpaceDE/>
        <w:autoSpaceDN/>
        <w:bidi w:val="0"/>
        <w:spacing w:before="198" w:after="198" w:line="560" w:lineRule="exact"/>
      </w:pPr>
      <w:r>
        <w:rPr>
          <w:rFonts w:hint="eastAsia"/>
        </w:rPr>
        <w:t>总额计划</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根据集团工资总额预算管理办法，能够实现工资总额预算编制与申报，工资总额预算审核，查询总额执行情况，支持设置预警条件，并支持特殊情况下对薪资总额进行调整和追加。按照工资总额预算审核办法，对企业工资总额进行清算和考核。</w:t>
      </w:r>
    </w:p>
    <w:p>
      <w:pPr>
        <w:pStyle w:val="8"/>
        <w:kinsoku/>
        <w:wordWrap/>
        <w:topLinePunct w:val="0"/>
        <w:autoSpaceDE/>
        <w:autoSpaceDN/>
        <w:bidi w:val="0"/>
        <w:spacing w:before="198" w:after="198" w:line="560" w:lineRule="exact"/>
      </w:pPr>
      <w:r>
        <w:rPr>
          <w:rFonts w:hint="eastAsia"/>
        </w:rPr>
        <w:t>工资计算</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系统支持自定义多种薪酬计算方式，并且可以统计企业薪酬总额。</w:t>
      </w:r>
    </w:p>
    <w:p>
      <w:pPr>
        <w:pStyle w:val="8"/>
        <w:kinsoku/>
        <w:wordWrap/>
        <w:topLinePunct w:val="0"/>
        <w:autoSpaceDE/>
        <w:autoSpaceDN/>
        <w:bidi w:val="0"/>
        <w:spacing w:before="198" w:after="198" w:line="560" w:lineRule="exact"/>
      </w:pPr>
      <w:r>
        <w:rPr>
          <w:rFonts w:hint="eastAsia"/>
        </w:rPr>
        <w:t>企业工资数据上报</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工效挂钩企业填报《国有企业工资总额同经济效益挂钩工资基金清算表》；自主确定工资总额的企业填报《国有企业自主确定工资总额试点工资基金清算表》；实行工资总额计划的企业填报《监管企业工资总额计划执行情况表》、《监管企业工资总额计划申请表》。数据报送周期支持年度、季度、月度等方式。</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根据其他项目而计算生成的项目，不允许手工输入。</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具体步骤如下：</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1.企业选择填报时间进行填报。以普通单位的身份进入，左面的单位树只显示该普通单位。如果以合并单位进入，则单位树显示该合并单位及下属单位，系统自动定位于合并单位，合并单据可以代下级单位填报。</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2.填报完成后进行计算，系统根据表内公式进行计算。</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3.计算完成后按照定义的校验公式进行校验，如果校验出错，则在下方显示校验错误。</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4.企业填报后可以由本单位进行审核（是否需要经过本单位审核，系统可以设置）。审核后报表状态由编制状态改变为本单位已审核状态，同时系统提供取消审核功能。</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5.本单位审核通过后，将报表上报。报表状态由本单位审核状态改变为已上报状态。</w:t>
      </w:r>
    </w:p>
    <w:p>
      <w:pPr>
        <w:pStyle w:val="8"/>
        <w:kinsoku/>
        <w:wordWrap/>
        <w:topLinePunct w:val="0"/>
        <w:autoSpaceDE/>
        <w:autoSpaceDN/>
        <w:bidi w:val="0"/>
        <w:spacing w:before="198" w:after="198" w:line="560" w:lineRule="exact"/>
      </w:pPr>
      <w:r>
        <w:rPr>
          <w:rFonts w:hint="eastAsia"/>
        </w:rPr>
        <w:t>指标分析</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1.分析指标</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按管理方式分析企业数量、工资总额、实际工资增长率。</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2.分析维度</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按企业、按行业、按地域、按年月、按管理方式。</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3.分析方式</w:t>
      </w:r>
    </w:p>
    <w:p>
      <w:pPr>
        <w:numPr>
          <w:ilvl w:val="0"/>
          <w:numId w:val="65"/>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历年工资增长幅度分析；</w:t>
      </w:r>
    </w:p>
    <w:p>
      <w:pPr>
        <w:numPr>
          <w:ilvl w:val="0"/>
          <w:numId w:val="65"/>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分析工效挂钩和总额计划两种管理方式的企业数量、占比；</w:t>
      </w:r>
    </w:p>
    <w:p>
      <w:pPr>
        <w:numPr>
          <w:ilvl w:val="0"/>
          <w:numId w:val="65"/>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实际工资增长超过提取的工资总额的企业数量；</w:t>
      </w:r>
    </w:p>
    <w:p>
      <w:pPr>
        <w:numPr>
          <w:ilvl w:val="0"/>
          <w:numId w:val="65"/>
        </w:numPr>
        <w:kinsoku/>
        <w:wordWrap/>
        <w:topLinePunct w:val="0"/>
        <w:autoSpaceDE/>
        <w:autoSpaceDN/>
        <w:bidi w:val="0"/>
        <w:spacing w:line="560" w:lineRule="exact"/>
        <w:ind w:firstLine="604"/>
        <w:rPr>
          <w:rFonts w:ascii="方正仿宋_GBK" w:hAnsi="方正仿宋_GBK"/>
        </w:rPr>
      </w:pPr>
      <w:r>
        <w:rPr>
          <w:rFonts w:hint="eastAsia" w:ascii="方正仿宋_GBK" w:hAnsi="方正仿宋_GBK"/>
          <w:snapToGrid w:val="0"/>
        </w:rPr>
        <w:t>年度工资总额计划执行情况。</w:t>
      </w:r>
    </w:p>
    <w:p>
      <w:pPr>
        <w:pStyle w:val="6"/>
        <w:kinsoku/>
        <w:wordWrap/>
        <w:topLinePunct w:val="0"/>
        <w:autoSpaceDE/>
        <w:autoSpaceDN/>
        <w:bidi w:val="0"/>
        <w:spacing w:before="198" w:after="198" w:line="560" w:lineRule="exact"/>
      </w:pPr>
      <w:bookmarkStart w:id="196" w:name="_Toc15807"/>
      <w:bookmarkStart w:id="197" w:name="_Toc2321"/>
      <w:bookmarkStart w:id="198" w:name="_Toc16586"/>
      <w:r>
        <w:rPr>
          <w:rFonts w:hint="eastAsia"/>
        </w:rPr>
        <w:t>数智化法务及风险管理</w:t>
      </w:r>
      <w:bookmarkEnd w:id="196"/>
      <w:bookmarkEnd w:id="197"/>
      <w:bookmarkEnd w:id="198"/>
    </w:p>
    <w:p>
      <w:pPr>
        <w:pStyle w:val="7"/>
        <w:kinsoku/>
        <w:wordWrap/>
        <w:topLinePunct w:val="0"/>
        <w:autoSpaceDE/>
        <w:autoSpaceDN/>
        <w:bidi w:val="0"/>
        <w:spacing w:before="198" w:after="198" w:line="560" w:lineRule="exact"/>
        <w:rPr>
          <w:rFonts w:hint="default"/>
        </w:rPr>
      </w:pPr>
      <w:r>
        <w:t>法务管理</w:t>
      </w:r>
    </w:p>
    <w:p>
      <w:pPr>
        <w:pStyle w:val="8"/>
        <w:kinsoku/>
        <w:wordWrap/>
        <w:topLinePunct w:val="0"/>
        <w:autoSpaceDE/>
        <w:autoSpaceDN/>
        <w:bidi w:val="0"/>
        <w:spacing w:before="198" w:after="198" w:line="560" w:lineRule="exact"/>
      </w:pPr>
      <w:r>
        <w:rPr>
          <w:rFonts w:hint="eastAsia"/>
        </w:rPr>
        <w:t>企业法治信息</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企业法治信息由企业进行上报，上报信息包括法制宣传活动信息、法制培训活动信息，重要决策法律审核比例，经济合同法律审核比例，境外重大项目法律顾问参与情况，企业专职法务人员信，企业持有法律执业资格证书人员信息等。</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系统实现企业通过数据报表、电子文档等形式进行信息上报。法制宣传活动信息、法制培训活动信息以电子文档形式进行提交。上报内容主要包含活动主题、参与人数、活动效果、图片视频等内容，上报时间由企业实时报送。实现定期生成统计报表。</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数据报表信息上报由集团对企业下发相关通知，说明上报数据表格内容，并设置</w:t>
      </w:r>
      <w:r>
        <w:rPr>
          <w:rFonts w:hint="eastAsia" w:ascii="方正仿宋_GBK" w:hAnsi="方正仿宋_GBK"/>
          <w:lang w:eastAsia="zh-CN"/>
        </w:rPr>
        <w:t>填报</w:t>
      </w:r>
      <w:r>
        <w:rPr>
          <w:rFonts w:hint="eastAsia" w:ascii="方正仿宋_GBK" w:hAnsi="方正仿宋_GBK"/>
        </w:rPr>
        <w:t>截止日期。系统将上报任务发给企业，并通过短信等方式提醒企业工作人员，对数据进行填报。对逾期未填报的企业，集团可以对其进行催报，催报形式包括短信、系统消息等方式。系统对企业提交的信息自动进行汇总，生成汇总报表。</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1.法治国企信息填报</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支持手工录入数据、excel文件导入数据。需填报的数据包括法律事务机构及人员情况统计表、年度法律中介机构及人员工作评价统计表、年度“三项重点工作”法律审核情况统计表等。企业可查询已录入的数据，并能对该数据进行修改、删除操作。</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2.集团审核</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集团对企业上报的信息进行审核，如拒绝接收，则需企业重新填报。</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3.报表查询</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按报表分类、单位、年度、月份快速检索报表信息。</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4.上报情况统计</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该功能应支持集团可查看企业的法治国企信息报送情况，并对企业进行上报考核统计，统计迟报、不报等情况。对逾期未报的企业，集团可进行催报，催报可通过设置规则自动发送，方式包括系统消息等。诉讼案件管理</w:t>
      </w:r>
    </w:p>
    <w:p>
      <w:pPr>
        <w:pStyle w:val="8"/>
        <w:kinsoku/>
        <w:wordWrap/>
        <w:topLinePunct w:val="0"/>
        <w:autoSpaceDE/>
        <w:autoSpaceDN/>
        <w:bidi w:val="0"/>
        <w:spacing w:before="198" w:after="198" w:line="560" w:lineRule="exact"/>
      </w:pPr>
      <w:r>
        <w:rPr>
          <w:rFonts w:hint="eastAsia"/>
        </w:rPr>
        <w:t>诉讼案件管理</w:t>
      </w:r>
    </w:p>
    <w:p>
      <w:pPr>
        <w:kinsoku/>
        <w:wordWrap/>
        <w:topLinePunct w:val="0"/>
        <w:autoSpaceDE/>
        <w:autoSpaceDN/>
        <w:bidi w:val="0"/>
        <w:spacing w:line="560" w:lineRule="exact"/>
        <w:ind w:firstLine="604"/>
        <w:rPr>
          <w:rFonts w:hint="eastAsia" w:ascii="方正仿宋_GBK" w:hAnsi="方正仿宋_GBK"/>
        </w:rPr>
      </w:pPr>
      <w:r>
        <w:rPr>
          <w:rFonts w:hint="eastAsia" w:ascii="方正仿宋_GBK" w:hAnsi="方正仿宋_GBK"/>
        </w:rPr>
        <w:t>诉讼案件管理根据集团公司《法律事务工作管理办法》制定本规定，集团公司和所出资企业法律纠纷的处理，实行分层分类管理，在相应的管理职责和权限内处理诉讼事宜。建立并维护诉讼法律纠纷管理的流程，将发生的诉讼纠纷进行相应的处理，并对执行的情况进行跟踪，最后通过数据的汇总、分析和展现实现法律纠纷各环节的管理闭环，实现法律纠纷管理的持续改进。</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涉诉涉案信息指企业及其重要子企业发生的法律纠纷案件情况，由企业实时报送。法律纠纷案件包括买卖纠纷、融资借款纠纷、股权争议纠纷、建筑施工纠纷、产品质量纠纷、知识产权纠纷、劳动争议纠纷、涉及群体性纠纷、行政纠纷、涉外纠纷和其他纠纷。</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报送内容包括案件数、标的额（大于等于</w:t>
      </w:r>
      <w:r>
        <w:rPr>
          <w:rFonts w:hint="eastAsia" w:ascii="方正仿宋_GBK" w:hAnsi="方正仿宋_GBK"/>
          <w:snapToGrid w:val="0"/>
          <w:lang w:val="en-US" w:eastAsia="zh-CN"/>
        </w:rPr>
        <w:t>10</w:t>
      </w:r>
      <w:r>
        <w:rPr>
          <w:rFonts w:hint="eastAsia" w:ascii="方正仿宋_GBK" w:hAnsi="方正仿宋_GBK"/>
          <w:snapToGrid w:val="0"/>
        </w:rPr>
        <w:t>00万的案件数）、生效案件数、涉案争议标的、代理费金额、案件造成损失或挽回损失等，并按时更新案件处理进度，案件终结后，上报案件处理结果。</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系统定期将报送涉诉涉案信息进行统计分析，形成年度诉讼案件统计报表，并可以对案详细信息在线查阅。</w:t>
      </w:r>
    </w:p>
    <w:p>
      <w:pPr>
        <w:kinsoku/>
        <w:wordWrap/>
        <w:topLinePunct w:val="0"/>
        <w:autoSpaceDE/>
        <w:autoSpaceDN/>
        <w:bidi w:val="0"/>
        <w:spacing w:line="560" w:lineRule="exact"/>
        <w:ind w:left="604" w:leftChars="200" w:firstLine="0" w:firstLineChars="0"/>
        <w:rPr>
          <w:rFonts w:ascii="方正仿宋_GBK" w:hAnsi="方正仿宋_GBK"/>
        </w:rPr>
      </w:pPr>
      <w:r>
        <w:rPr>
          <w:rFonts w:hint="eastAsia" w:ascii="方正仿宋_GBK" w:hAnsi="方正仿宋_GBK"/>
        </w:rPr>
        <w:t>1.案件录入</w:t>
      </w:r>
    </w:p>
    <w:p>
      <w:pPr>
        <w:kinsoku/>
        <w:wordWrap/>
        <w:topLinePunct w:val="0"/>
        <w:autoSpaceDE/>
        <w:autoSpaceDN/>
        <w:bidi w:val="0"/>
        <w:spacing w:line="560" w:lineRule="exact"/>
        <w:ind w:firstLine="604"/>
        <w:rPr>
          <w:rFonts w:hint="eastAsia" w:ascii="方正仿宋_GBK" w:hAnsi="方正仿宋_GBK"/>
        </w:rPr>
      </w:pPr>
      <w:r>
        <w:rPr>
          <w:rFonts w:hint="eastAsia" w:ascii="方正仿宋_GBK" w:hAnsi="方正仿宋_GBK"/>
        </w:rPr>
        <w:t>各级法律事务管理部门在接到相关部门转来的要求提起诉讼的书面材料，或是法院的应诉通知等，均应经过审核：一是是否需要起诉。需起诉的则进入立案程序；无需起诉的则向相关部门出具书面的法律意见。二是是否在本级处理的权限范围之内。</w:t>
      </w:r>
    </w:p>
    <w:p>
      <w:pPr>
        <w:kinsoku/>
        <w:wordWrap/>
        <w:topLinePunct w:val="0"/>
        <w:autoSpaceDE/>
        <w:autoSpaceDN/>
        <w:bidi w:val="0"/>
        <w:spacing w:line="560" w:lineRule="exact"/>
        <w:ind w:left="604" w:leftChars="200" w:firstLine="0" w:firstLineChars="0"/>
        <w:rPr>
          <w:rFonts w:ascii="方正仿宋_GBK" w:hAnsi="方正仿宋_GBK"/>
        </w:rPr>
      </w:pPr>
      <w:r>
        <w:rPr>
          <w:rFonts w:hint="eastAsia" w:ascii="方正仿宋_GBK" w:hAnsi="方正仿宋_GBK"/>
        </w:rPr>
        <w:t>2.案件进展处理</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承办人可根据不同案件建立案件办理环节，对关键环节实现动态（包括民诉法规定的诉讼时效、举证期限、开庭日期等案件进展）监控设置预警，根据案件承办人录入的预警时间提前提醒；案件可根据需要合并和分立，如一审、二审可合并为一宗案件，但统计时仍计为两起案件；案件办理中可随时生成案件报告。</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裁判文书生效后，应按法律及法院裁判文书规定的期间予以执行。属对方承担责任的则及时要求对方执行。对方拒不执行的，申请法院强制执行，在执行阶段需注意发现对方财产线索。</w:t>
      </w:r>
    </w:p>
    <w:p>
      <w:pPr>
        <w:kinsoku/>
        <w:wordWrap/>
        <w:topLinePunct w:val="0"/>
        <w:autoSpaceDE/>
        <w:autoSpaceDN/>
        <w:bidi w:val="0"/>
        <w:spacing w:line="560" w:lineRule="exact"/>
        <w:ind w:left="604" w:leftChars="200" w:firstLine="0" w:firstLineChars="0"/>
        <w:rPr>
          <w:rFonts w:ascii="方正仿宋_GBK" w:hAnsi="方正仿宋_GBK"/>
        </w:rPr>
      </w:pPr>
      <w:r>
        <w:rPr>
          <w:rFonts w:hint="eastAsia" w:ascii="方正仿宋_GBK" w:hAnsi="方正仿宋_GBK"/>
        </w:rPr>
        <w:t>3.案件结案归档</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办案过程中的全部材料应及时归档，在案件终审或执行终结后，按公司案件卷内材料编目统一规则存档，并及时完成法律事务管理系统的信息完整录入。同时上传档案目录、记录归档日期、档案编号、存放位置或保管人等信息。</w:t>
      </w:r>
    </w:p>
    <w:p>
      <w:pPr>
        <w:kinsoku/>
        <w:wordWrap/>
        <w:topLinePunct w:val="0"/>
        <w:autoSpaceDE/>
        <w:autoSpaceDN/>
        <w:bidi w:val="0"/>
        <w:spacing w:line="560" w:lineRule="exact"/>
        <w:ind w:left="604" w:leftChars="200" w:firstLine="0" w:firstLineChars="0"/>
        <w:rPr>
          <w:rFonts w:ascii="方正仿宋_GBK" w:hAnsi="方正仿宋_GBK"/>
        </w:rPr>
      </w:pPr>
      <w:r>
        <w:rPr>
          <w:rFonts w:hint="eastAsia" w:ascii="方正仿宋_GBK" w:hAnsi="方正仿宋_GBK"/>
        </w:rPr>
        <w:t>4.案件查询和统计</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lang w:val="en-US" w:eastAsia="zh-CN"/>
        </w:rPr>
        <w:t>对</w:t>
      </w:r>
      <w:r>
        <w:rPr>
          <w:rFonts w:hint="eastAsia" w:ascii="方正仿宋_GBK" w:hAnsi="方正仿宋_GBK"/>
        </w:rPr>
        <w:t>年度新发生案件</w:t>
      </w:r>
      <w:r>
        <w:rPr>
          <w:rFonts w:hint="eastAsia" w:ascii="方正仿宋_GBK" w:hAnsi="方正仿宋_GBK"/>
          <w:lang w:val="en-US" w:eastAsia="zh-CN"/>
        </w:rPr>
        <w:t>生成</w:t>
      </w:r>
      <w:r>
        <w:rPr>
          <w:rFonts w:hint="eastAsia" w:ascii="方正仿宋_GBK" w:hAnsi="方正仿宋_GBK"/>
        </w:rPr>
        <w:t>统计表（含主诉、被诉、一审）</w:t>
      </w:r>
      <w:r>
        <w:rPr>
          <w:rFonts w:hint="eastAsia" w:ascii="方正仿宋_GBK" w:hAnsi="方正仿宋_GBK"/>
          <w:lang w:eastAsia="zh-CN"/>
        </w:rPr>
        <w:t>；</w:t>
      </w:r>
      <w:r>
        <w:rPr>
          <w:rFonts w:hint="eastAsia" w:ascii="方正仿宋_GBK" w:hAnsi="方正仿宋_GBK"/>
        </w:rPr>
        <w:t>可对案件进行多角度查询和排序，可自定义表格，提取相关信息进行筛选和排序；可根据时间、金额、案由、重大程度和案件进度等不同的维度对案件进行分类统计和分析，自动生成报表并具导出功能。</w:t>
      </w:r>
    </w:p>
    <w:p>
      <w:pPr>
        <w:pStyle w:val="8"/>
        <w:kinsoku/>
        <w:wordWrap/>
        <w:topLinePunct w:val="0"/>
        <w:autoSpaceDE/>
        <w:autoSpaceDN/>
        <w:bidi w:val="0"/>
        <w:spacing w:before="198" w:after="198" w:line="560" w:lineRule="exact"/>
      </w:pPr>
      <w:r>
        <w:rPr>
          <w:rFonts w:hint="eastAsia"/>
        </w:rPr>
        <w:t>非诉</w:t>
      </w:r>
      <w:r>
        <w:rPr>
          <w:rFonts w:hint="eastAsia"/>
          <w:lang w:val="en-US" w:eastAsia="zh-CN"/>
        </w:rPr>
        <w:t>事项</w:t>
      </w:r>
      <w:r>
        <w:rPr>
          <w:rFonts w:hint="eastAsia"/>
        </w:rPr>
        <w:t>管理</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实现公司非诉讼项目全流程法律事务的动态管理支撑。实现项目的阶段性计划、跟踪、提醒推送、建议方案、统计分析的过程管理。实现与项目相关的合同管理、案件纠纷管理、法人授权管理等数据互通关联。</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1.建立项目，分类管理、时间管理、提醒功能；</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2.跟踪、进展提供法律支持；</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3.项目建议、存在问题、解决方案；</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4.项目执行情况、总结；</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5.非诉讼案件登记、查询等功能。</w:t>
      </w:r>
    </w:p>
    <w:p>
      <w:pPr>
        <w:pStyle w:val="8"/>
        <w:kinsoku/>
        <w:wordWrap/>
        <w:topLinePunct w:val="0"/>
        <w:autoSpaceDE/>
        <w:autoSpaceDN/>
        <w:bidi w:val="0"/>
        <w:spacing w:before="198" w:after="198" w:line="560" w:lineRule="exact"/>
      </w:pPr>
      <w:r>
        <w:rPr>
          <w:rFonts w:hint="eastAsia"/>
        </w:rPr>
        <w:t>律师律所管理</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系统实现外聘律师机构搭建，其中包含机构的资质、业务范畴、机构人员管理包括对法律中介机构人员的个人资质、业务记录等信息维护功能。</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系统支持权限范围内人员进行查询、沟通等功能。</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1.机构管理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机构管理将从法律中介机构管理和机构人员管理两个方面进行：法律中介机构管理将提供对机构的资质、业务范畴等基本信息和法律中介库中法律中介机构名单进行维护管理和多维度查询；机构人员管理包括对法律中介机构人员的个人资质、业务记录、业务范畴等信息进行维护，并对律师库提供信息支持。</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2.律师库</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通过根据具有公信力的专业法律服务排名及评价意见、各律师事务所及相关律师的业绩、经验和对客户的服务态度及其以往对本集团提供法律服务的记录等因素对机构人员管理中的机构人员进行综合考量，建立包含律师姓名、所在机构、擅长领域、从业年限、工作经历等信息的律师库。</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3.律师选聘</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律师选聘分为常年法律顾问律师选聘与专项法律服务律师选聘：</w:t>
      </w:r>
    </w:p>
    <w:p>
      <w:pPr>
        <w:kinsoku/>
        <w:wordWrap/>
        <w:topLinePunct w:val="0"/>
        <w:autoSpaceDE/>
        <w:autoSpaceDN/>
        <w:bidi w:val="0"/>
        <w:spacing w:line="560" w:lineRule="exact"/>
        <w:ind w:firstLine="604"/>
        <w:rPr>
          <w:rFonts w:hint="eastAsia" w:ascii="方正仿宋_GBK" w:hAnsi="方正仿宋_GBK"/>
          <w:snapToGrid w:val="0"/>
        </w:rPr>
      </w:pPr>
      <w:r>
        <w:rPr>
          <w:rFonts w:hint="eastAsia" w:ascii="方正仿宋_GBK" w:hAnsi="方正仿宋_GBK"/>
          <w:snapToGrid w:val="0"/>
        </w:rPr>
        <w:t>常年法律顾问律师：指集团及所出资企业从律师事务所聘请的为集团或所出资企业提供一年以上合同范围内法律服务的执业律师；</w:t>
      </w:r>
    </w:p>
    <w:p>
      <w:pPr>
        <w:kinsoku/>
        <w:wordWrap/>
        <w:topLinePunct w:val="0"/>
        <w:autoSpaceDE/>
        <w:autoSpaceDN/>
        <w:bidi w:val="0"/>
        <w:spacing w:line="560" w:lineRule="exact"/>
        <w:ind w:firstLine="604"/>
        <w:rPr>
          <w:rFonts w:hint="eastAsia" w:ascii="方正仿宋_GBK" w:hAnsi="方正仿宋_GBK"/>
          <w:snapToGrid w:val="0"/>
        </w:rPr>
      </w:pPr>
      <w:r>
        <w:rPr>
          <w:rFonts w:hint="eastAsia" w:ascii="方正仿宋_GBK" w:hAnsi="方正仿宋_GBK"/>
          <w:snapToGrid w:val="0"/>
        </w:rPr>
        <w:t>专项法律服务律师：指集团及所出资企业从律师事务所聘请的为集团或所出资企业处理特定法律事项的执业律师。</w:t>
      </w:r>
    </w:p>
    <w:p>
      <w:pPr>
        <w:kinsoku/>
        <w:wordWrap/>
        <w:topLinePunct w:val="0"/>
        <w:autoSpaceDE/>
        <w:autoSpaceDN/>
        <w:bidi w:val="0"/>
        <w:spacing w:line="560" w:lineRule="exact"/>
        <w:ind w:firstLine="604"/>
        <w:rPr>
          <w:rFonts w:hint="eastAsia" w:ascii="方正仿宋_GBK" w:hAnsi="方正仿宋_GBK"/>
          <w:snapToGrid w:val="0"/>
        </w:rPr>
      </w:pPr>
      <w:r>
        <w:rPr>
          <w:rFonts w:hint="eastAsia" w:ascii="方正仿宋_GBK" w:hAnsi="方正仿宋_GBK"/>
          <w:snapToGrid w:val="0"/>
        </w:rPr>
        <w:t>（1）常年法律顾问选聘</w:t>
      </w:r>
    </w:p>
    <w:p>
      <w:pPr>
        <w:kinsoku/>
        <w:wordWrap/>
        <w:topLinePunct w:val="0"/>
        <w:autoSpaceDE/>
        <w:autoSpaceDN/>
        <w:bidi w:val="0"/>
        <w:spacing w:line="560" w:lineRule="exact"/>
        <w:ind w:firstLine="604"/>
        <w:rPr>
          <w:rFonts w:hint="eastAsia" w:ascii="方正仿宋_GBK" w:hAnsi="方正仿宋_GBK"/>
          <w:snapToGrid w:val="0"/>
        </w:rPr>
      </w:pPr>
      <w:r>
        <w:rPr>
          <w:rFonts w:hint="eastAsia" w:ascii="方正仿宋_GBK" w:hAnsi="方正仿宋_GBK"/>
          <w:snapToGrid w:val="0"/>
        </w:rPr>
        <w:t>常年法律顾问律师：指集团及所出资企业从律师事务所聘请的为集团或所出资企业提供一年以上合同范围内法律服务的执业律师；</w:t>
      </w:r>
    </w:p>
    <w:p>
      <w:pPr>
        <w:kinsoku/>
        <w:wordWrap/>
        <w:topLinePunct w:val="0"/>
        <w:autoSpaceDE/>
        <w:autoSpaceDN/>
        <w:bidi w:val="0"/>
        <w:spacing w:line="560" w:lineRule="exact"/>
        <w:ind w:firstLine="604"/>
        <w:rPr>
          <w:rFonts w:hint="eastAsia" w:ascii="方正仿宋_GBK" w:hAnsi="方正仿宋_GBK"/>
          <w:snapToGrid w:val="0"/>
        </w:rPr>
      </w:pPr>
      <w:r>
        <w:rPr>
          <w:rFonts w:hint="eastAsia" w:ascii="方正仿宋_GBK" w:hAnsi="方正仿宋_GBK"/>
          <w:snapToGrid w:val="0"/>
        </w:rPr>
        <w:t>通过系统可实现常年法律顾问的需求申请、审批、选聘、审核、签订协议等一系列流程操作。</w:t>
      </w:r>
    </w:p>
    <w:p>
      <w:pPr>
        <w:kinsoku/>
        <w:wordWrap/>
        <w:topLinePunct w:val="0"/>
        <w:autoSpaceDE/>
        <w:autoSpaceDN/>
        <w:bidi w:val="0"/>
        <w:spacing w:line="560" w:lineRule="exact"/>
        <w:ind w:firstLine="604"/>
        <w:rPr>
          <w:rFonts w:hint="eastAsia" w:ascii="方正仿宋_GBK" w:hAnsi="方正仿宋_GBK"/>
          <w:snapToGrid w:val="0"/>
        </w:rPr>
      </w:pPr>
      <w:r>
        <w:rPr>
          <w:rFonts w:hint="eastAsia" w:ascii="方正仿宋_GBK" w:hAnsi="方正仿宋_GBK"/>
          <w:snapToGrid w:val="0"/>
        </w:rPr>
        <w:t>（2）专项法律顾问选聘</w:t>
      </w:r>
    </w:p>
    <w:p>
      <w:pPr>
        <w:kinsoku/>
        <w:wordWrap/>
        <w:topLinePunct w:val="0"/>
        <w:autoSpaceDE/>
        <w:autoSpaceDN/>
        <w:bidi w:val="0"/>
        <w:spacing w:line="560" w:lineRule="exact"/>
        <w:ind w:firstLine="604"/>
        <w:rPr>
          <w:rFonts w:hint="eastAsia" w:ascii="方正仿宋_GBK" w:hAnsi="方正仿宋_GBK"/>
          <w:snapToGrid w:val="0"/>
        </w:rPr>
      </w:pPr>
      <w:r>
        <w:rPr>
          <w:rFonts w:hint="eastAsia" w:ascii="方正仿宋_GBK" w:hAnsi="方正仿宋_GBK"/>
          <w:snapToGrid w:val="0"/>
        </w:rPr>
        <w:t>专项法律服务律师：指集团及所出资企业从律师事务所聘请的为集团或所出资企业处理特定法律事项的执业律师。</w:t>
      </w:r>
    </w:p>
    <w:p>
      <w:pPr>
        <w:kinsoku/>
        <w:wordWrap/>
        <w:topLinePunct w:val="0"/>
        <w:autoSpaceDE/>
        <w:autoSpaceDN/>
        <w:bidi w:val="0"/>
        <w:spacing w:line="560" w:lineRule="exact"/>
        <w:ind w:firstLine="604"/>
        <w:rPr>
          <w:rFonts w:hint="eastAsia" w:ascii="方正仿宋_GBK" w:hAnsi="方正仿宋_GBK"/>
          <w:snapToGrid w:val="0"/>
        </w:rPr>
      </w:pPr>
      <w:r>
        <w:rPr>
          <w:rFonts w:hint="eastAsia" w:ascii="方正仿宋_GBK" w:hAnsi="方正仿宋_GBK"/>
          <w:snapToGrid w:val="0"/>
        </w:rPr>
        <w:t>通过系统可实现对临时法律顾问或者短期法律顾问进行管理。</w:t>
      </w:r>
    </w:p>
    <w:p>
      <w:pPr>
        <w:kinsoku/>
        <w:wordWrap/>
        <w:topLinePunct w:val="0"/>
        <w:autoSpaceDE/>
        <w:autoSpaceDN/>
        <w:bidi w:val="0"/>
        <w:spacing w:line="560" w:lineRule="exact"/>
        <w:ind w:firstLine="604"/>
        <w:rPr>
          <w:rFonts w:hint="eastAsia" w:ascii="方正仿宋_GBK" w:hAnsi="方正仿宋_GBK"/>
          <w:snapToGrid w:val="0"/>
        </w:rPr>
      </w:pPr>
      <w:r>
        <w:rPr>
          <w:rFonts w:hint="eastAsia" w:ascii="方正仿宋_GBK" w:hAnsi="方正仿宋_GBK"/>
          <w:snapToGrid w:val="0"/>
        </w:rPr>
        <w:t>通过系统可实现专项法律顾问选聘的需求申请、审批、选聘、审核、签订协议等一系列流程进行管理。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（3）律师库外律师选聘</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律师库外律师选聘必须由具体的承办部门或子公司逐级上报至集团总</w:t>
      </w:r>
      <w:r>
        <w:rPr>
          <w:rFonts w:hint="eastAsia" w:ascii="方正仿宋_GBK" w:hAnsi="方正仿宋_GBK"/>
          <w:snapToGrid w:val="0"/>
          <w:lang w:val="en-US" w:eastAsia="zh-CN"/>
        </w:rPr>
        <w:t>法律顾问</w:t>
      </w:r>
      <w:r>
        <w:rPr>
          <w:rFonts w:hint="eastAsia" w:ascii="方正仿宋_GBK" w:hAnsi="方正仿宋_GBK"/>
          <w:snapToGrid w:val="0"/>
        </w:rPr>
        <w:t>同意后再执行相应的选聘流程，然后经各级领导审查、审批所聘律师的资质后方可签订法律协议，并将包括律师来源的信息载入服务律师备案库内。</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（4）子公司律师选聘登记</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子公司律师选聘登记可以对聘选律师的事务所名称、主办律师、常项或专项、询价或竞争性比选、是否来自律师库、协议服务相关信息、备注、详细信息等信息进行管理。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（5）服务律师备案库</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服务律师备案库通过对常年法律顾问选聘、专项法律顾问选聘的以及子公司律师选聘登记的所有律师的基本情况进行备案，并提供相关信息的展示、查询功能。</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4.服务活动</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服务活动功能主要包括律师咨询和服务活动两方面。支持律师咨询活动由子公司或总公司人员发起和相应审批</w:t>
      </w:r>
      <w:r>
        <w:rPr>
          <w:rFonts w:hint="eastAsia" w:ascii="方正仿宋_GBK" w:hAnsi="方正仿宋_GBK"/>
          <w:snapToGrid w:val="0"/>
          <w:lang w:eastAsia="zh-CN"/>
        </w:rPr>
        <w:t>流程</w:t>
      </w:r>
      <w:r>
        <w:rPr>
          <w:rFonts w:hint="eastAsia" w:ascii="方正仿宋_GBK" w:hAnsi="方正仿宋_GBK"/>
          <w:snapToGrid w:val="0"/>
        </w:rPr>
        <w:t>的设定，同时提供通过审批后将符合要求的律师推送至需求部门。支持对律师服务活动的记录，包括包含律师编号、姓名、事项、目前情况、处理结果、评价、满意度评分、事项主体、律师所属业务部门、律师类型、服务环节（如：合规审核、合同纠纷处理</w:t>
      </w:r>
      <w:r>
        <w:rPr>
          <w:rFonts w:hint="eastAsia" w:ascii="方正仿宋_GBK" w:hAnsi="方正仿宋_GBK"/>
          <w:snapToGrid w:val="0"/>
          <w:lang w:eastAsia="zh-CN"/>
        </w:rPr>
        <w:t>或其他</w:t>
      </w:r>
      <w:r>
        <w:rPr>
          <w:rFonts w:hint="eastAsia" w:ascii="方正仿宋_GBK" w:hAnsi="方正仿宋_GBK"/>
          <w:snapToGrid w:val="0"/>
        </w:rPr>
        <w:t>项目过程）等信息。</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5.律</w:t>
      </w:r>
      <w:r>
        <w:rPr>
          <w:rFonts w:hint="eastAsia" w:ascii="方正仿宋_GBK" w:hAnsi="方正仿宋_GBK"/>
          <w:snapToGrid w:val="0"/>
          <w:lang w:val="en-US" w:eastAsia="zh-CN"/>
        </w:rPr>
        <w:t>所</w:t>
      </w:r>
      <w:r>
        <w:rPr>
          <w:rFonts w:hint="eastAsia" w:ascii="方正仿宋_GBK" w:hAnsi="方正仿宋_GBK"/>
          <w:snapToGrid w:val="0"/>
        </w:rPr>
        <w:t>考核</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snapToGrid w:val="0"/>
        </w:rPr>
        <w:t>律</w:t>
      </w:r>
      <w:r>
        <w:rPr>
          <w:rFonts w:hint="eastAsia" w:ascii="方正仿宋_GBK" w:hAnsi="方正仿宋_GBK"/>
          <w:snapToGrid w:val="0"/>
          <w:lang w:val="en-US" w:eastAsia="zh-CN"/>
        </w:rPr>
        <w:t>所</w:t>
      </w:r>
      <w:r>
        <w:rPr>
          <w:rFonts w:hint="eastAsia" w:ascii="方正仿宋_GBK" w:hAnsi="方正仿宋_GBK"/>
          <w:snapToGrid w:val="0"/>
        </w:rPr>
        <w:t>考核功能分为律</w:t>
      </w:r>
      <w:r>
        <w:rPr>
          <w:rFonts w:hint="eastAsia" w:ascii="方正仿宋_GBK" w:hAnsi="方正仿宋_GBK"/>
          <w:snapToGrid w:val="0"/>
          <w:lang w:val="en-US" w:eastAsia="zh-CN"/>
        </w:rPr>
        <w:t>所</w:t>
      </w:r>
      <w:r>
        <w:rPr>
          <w:rFonts w:hint="eastAsia" w:ascii="方正仿宋_GBK" w:hAnsi="方正仿宋_GBK"/>
          <w:snapToGrid w:val="0"/>
        </w:rPr>
        <w:t>考核制度管理、律</w:t>
      </w:r>
      <w:r>
        <w:rPr>
          <w:rFonts w:hint="eastAsia" w:ascii="方正仿宋_GBK" w:hAnsi="方正仿宋_GBK"/>
          <w:snapToGrid w:val="0"/>
          <w:lang w:val="en-US" w:eastAsia="zh-CN"/>
        </w:rPr>
        <w:t>所</w:t>
      </w:r>
      <w:r>
        <w:rPr>
          <w:rFonts w:hint="eastAsia" w:ascii="方正仿宋_GBK" w:hAnsi="方正仿宋_GBK"/>
          <w:snapToGrid w:val="0"/>
        </w:rPr>
        <w:t>考核标准进行管理，并对</w:t>
      </w:r>
      <w:r>
        <w:rPr>
          <w:rFonts w:hint="eastAsia" w:ascii="方正仿宋_GBK" w:hAnsi="方正仿宋_GBK"/>
          <w:snapToGrid w:val="0"/>
          <w:lang w:val="en-US" w:eastAsia="zh-CN"/>
        </w:rPr>
        <w:t>律所</w:t>
      </w:r>
      <w:r>
        <w:rPr>
          <w:rFonts w:hint="eastAsia" w:ascii="方正仿宋_GBK" w:hAnsi="方正仿宋_GBK"/>
          <w:snapToGrid w:val="0"/>
        </w:rPr>
        <w:t>进行</w:t>
      </w:r>
      <w:r>
        <w:rPr>
          <w:rFonts w:hint="eastAsia" w:ascii="方正仿宋_GBK" w:hAnsi="方正仿宋_GBK"/>
          <w:snapToGrid w:val="0"/>
          <w:lang w:val="en-US" w:eastAsia="zh-CN"/>
        </w:rPr>
        <w:t>季度或</w:t>
      </w:r>
      <w:r>
        <w:rPr>
          <w:rFonts w:hint="eastAsia" w:ascii="方正仿宋_GBK" w:hAnsi="方正仿宋_GBK"/>
          <w:snapToGrid w:val="0"/>
        </w:rPr>
        <w:t>年度考核</w:t>
      </w:r>
      <w:r>
        <w:rPr>
          <w:rFonts w:hint="eastAsia" w:ascii="方正仿宋_GBK" w:hAnsi="方正仿宋_GBK"/>
          <w:snapToGrid w:val="0"/>
          <w:lang w:eastAsia="zh-CN"/>
        </w:rPr>
        <w:t>，</w:t>
      </w:r>
      <w:r>
        <w:rPr>
          <w:rFonts w:hint="eastAsia" w:ascii="方正仿宋_GBK" w:hAnsi="方正仿宋_GBK"/>
          <w:snapToGrid w:val="0"/>
          <w:lang w:val="en-US" w:eastAsia="zh-CN"/>
        </w:rPr>
        <w:t>生成考核评分表以及考核报告</w:t>
      </w:r>
      <w:r>
        <w:rPr>
          <w:rFonts w:hint="eastAsia" w:ascii="方正仿宋_GBK" w:hAnsi="方正仿宋_GBK"/>
          <w:snapToGrid w:val="0"/>
        </w:rPr>
        <w:t>。</w:t>
      </w:r>
    </w:p>
    <w:p>
      <w:pPr>
        <w:pStyle w:val="8"/>
        <w:kinsoku/>
        <w:wordWrap/>
        <w:topLinePunct w:val="0"/>
        <w:autoSpaceDE/>
        <w:autoSpaceDN/>
        <w:bidi w:val="0"/>
        <w:spacing w:before="198" w:after="198" w:line="560" w:lineRule="exact"/>
      </w:pPr>
      <w:r>
        <w:rPr>
          <w:rFonts w:hint="eastAsia"/>
        </w:rPr>
        <w:t>合规管理</w:t>
      </w:r>
    </w:p>
    <w:p>
      <w:pPr>
        <w:kinsoku/>
        <w:wordWrap/>
        <w:topLinePunct w:val="0"/>
        <w:autoSpaceDE/>
        <w:autoSpaceDN/>
        <w:bidi w:val="0"/>
        <w:spacing w:line="560" w:lineRule="exact"/>
        <w:ind w:firstLine="604"/>
        <w:rPr>
          <w:rFonts w:hint="eastAsia" w:ascii="方正仿宋_GBK" w:hAnsi="方正仿宋_GBK"/>
          <w:snapToGrid w:val="0"/>
        </w:rPr>
      </w:pPr>
      <w:r>
        <w:rPr>
          <w:rFonts w:hint="eastAsia" w:ascii="方正仿宋_GBK" w:hAnsi="方正仿宋_GBK"/>
          <w:snapToGrid w:val="0"/>
        </w:rPr>
        <w:t>合规指企业及全体员工的经营管理行为符合法律法规、监管规定、行业准则和公司章程、规章制度以及国际条约、规则等要求。</w:t>
      </w:r>
    </w:p>
    <w:p>
      <w:pPr>
        <w:kinsoku/>
        <w:wordWrap/>
        <w:topLinePunct w:val="0"/>
        <w:autoSpaceDE/>
        <w:autoSpaceDN/>
        <w:bidi w:val="0"/>
        <w:spacing w:line="560" w:lineRule="exact"/>
        <w:ind w:firstLine="604"/>
        <w:rPr>
          <w:rFonts w:hint="eastAsia" w:ascii="方正仿宋_GBK" w:hAnsi="方正仿宋_GBK"/>
          <w:snapToGrid w:val="0"/>
        </w:rPr>
      </w:pPr>
      <w:r>
        <w:rPr>
          <w:rFonts w:hint="eastAsia" w:ascii="方正仿宋_GBK" w:hAnsi="方正仿宋_GBK"/>
          <w:snapToGrid w:val="0"/>
        </w:rPr>
        <w:t>合规风险指企业及全体员工因不合规行为，引发法律责任、受到相关处罚、造成经济或声誉损失以及其他负面影响的可能性。</w:t>
      </w:r>
    </w:p>
    <w:p>
      <w:pPr>
        <w:kinsoku/>
        <w:wordWrap/>
        <w:topLinePunct w:val="0"/>
        <w:autoSpaceDE/>
        <w:autoSpaceDN/>
        <w:bidi w:val="0"/>
        <w:spacing w:line="560" w:lineRule="exact"/>
        <w:ind w:firstLine="604"/>
        <w:rPr>
          <w:rFonts w:hint="eastAsia" w:ascii="方正仿宋_GBK" w:hAnsi="方正仿宋_GBK"/>
          <w:snapToGrid w:val="0"/>
        </w:rPr>
      </w:pPr>
      <w:r>
        <w:rPr>
          <w:rFonts w:hint="eastAsia" w:ascii="方正仿宋_GBK" w:hAnsi="方正仿宋_GBK"/>
          <w:snapToGrid w:val="0"/>
        </w:rPr>
        <w:t>合规管理指以有效防控合规风险为目的，以公司和员工经营管理行为为对象，开展包括制度制定、风险识别、合规审查、风险应对、责任追究、考核评价、合规培训等有组织、有计划的管理活动。</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从市场交易、安全环保、产品质量、劳动用工、财务税收、知识产权、商业伙伴、配合执法等方面进行合规管理，包括自查、跟踪、处理、总结等功能。</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主要需求：</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1.自查</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根据集团要求进行自查并上报。</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2.跟踪</w:t>
      </w:r>
    </w:p>
    <w:p>
      <w:pPr>
        <w:kinsoku/>
        <w:wordWrap/>
        <w:topLinePunct w:val="0"/>
        <w:autoSpaceDE/>
        <w:autoSpaceDN/>
        <w:bidi w:val="0"/>
        <w:spacing w:line="560" w:lineRule="exact"/>
        <w:ind w:firstLine="604"/>
        <w:rPr>
          <w:rFonts w:hint="eastAsia" w:ascii="方正仿宋_GBK" w:hAnsi="方正仿宋_GBK"/>
          <w:snapToGrid w:val="0"/>
        </w:rPr>
      </w:pPr>
      <w:r>
        <w:rPr>
          <w:rFonts w:hint="eastAsia" w:ascii="方正仿宋_GBK" w:hAnsi="方正仿宋_GBK"/>
          <w:snapToGrid w:val="0"/>
        </w:rPr>
        <w:t>包括对检查工作开展情况、整改工作实施情况等相关情况进行跟踪，包括负责人员信息、工作开展进度、整改措施等事项查询、跟踪等。</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3.处理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对异常情况、不合理事件等进行处理，并给予反馈意见。</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4.总结</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根据合规管理情况进行汇总，形成自查报告，包括自查报告编制、自查报告上报、自查报告审核、自查报告查询等。</w:t>
      </w:r>
    </w:p>
    <w:p>
      <w:pPr>
        <w:kinsoku/>
        <w:wordWrap/>
        <w:topLinePunct w:val="0"/>
        <w:autoSpaceDE/>
        <w:autoSpaceDN/>
        <w:bidi w:val="0"/>
        <w:spacing w:line="560" w:lineRule="exact"/>
        <w:ind w:firstLine="604"/>
        <w:rPr>
          <w:rFonts w:hint="eastAsia" w:ascii="方正仿宋_GBK" w:hAnsi="方正仿宋_GBK"/>
        </w:rPr>
      </w:pPr>
      <w:r>
        <w:rPr>
          <w:rFonts w:hint="eastAsia" w:ascii="方正仿宋_GBK" w:hAnsi="方正仿宋_GBK"/>
        </w:rPr>
        <w:t>合规审查流程：指公司对其本身的经营管理和及其人员执业行为的合规性进行审查的行为。</w:t>
      </w:r>
    </w:p>
    <w:p>
      <w:pPr>
        <w:kinsoku/>
        <w:wordWrap/>
        <w:topLinePunct w:val="0"/>
        <w:autoSpaceDE/>
        <w:autoSpaceDN/>
        <w:bidi w:val="0"/>
        <w:spacing w:line="560" w:lineRule="exact"/>
        <w:ind w:firstLine="604"/>
        <w:rPr>
          <w:rFonts w:hint="eastAsia" w:ascii="方正仿宋_GBK" w:hAnsi="方正仿宋_GBK"/>
        </w:rPr>
      </w:pPr>
      <w:r>
        <w:rPr>
          <w:rFonts w:hint="eastAsia" w:ascii="方正仿宋_GBK" w:hAnsi="方正仿宋_GBK"/>
        </w:rPr>
        <w:t>合规检查：指集团公司对出资企业、公司对本公司的经营管理和及其人员执业行为的合规性进行检查。</w:t>
      </w:r>
    </w:p>
    <w:p>
      <w:pPr>
        <w:kinsoku/>
        <w:wordWrap/>
        <w:topLinePunct w:val="0"/>
        <w:autoSpaceDE/>
        <w:autoSpaceDN/>
        <w:bidi w:val="0"/>
        <w:spacing w:line="560" w:lineRule="exact"/>
        <w:ind w:firstLine="604"/>
        <w:rPr>
          <w:rFonts w:hint="eastAsia" w:ascii="方正仿宋_GBK" w:hAnsi="方正仿宋_GBK"/>
        </w:rPr>
      </w:pPr>
      <w:r>
        <w:rPr>
          <w:rFonts w:hint="eastAsia" w:ascii="方正仿宋_GBK" w:hAnsi="方正仿宋_GBK"/>
        </w:rPr>
        <w:t>合规配合：合规负责人及合规部门主动配合监管机构和相关组织的工作，处理和回应监管机构及相关组织的质询和检查的事项，并跟踪和评估监管意见和监管要求的落实情况。</w:t>
      </w:r>
    </w:p>
    <w:p>
      <w:pPr>
        <w:kinsoku/>
        <w:wordWrap/>
        <w:topLinePunct w:val="0"/>
        <w:autoSpaceDE/>
        <w:autoSpaceDN/>
        <w:bidi w:val="0"/>
        <w:spacing w:line="560" w:lineRule="exact"/>
        <w:ind w:firstLine="604"/>
        <w:rPr>
          <w:rFonts w:hint="eastAsia" w:ascii="方正仿宋_GBK" w:hAnsi="方正仿宋_GBK"/>
        </w:rPr>
      </w:pPr>
      <w:r>
        <w:rPr>
          <w:rFonts w:hint="eastAsia" w:ascii="方正仿宋_GBK" w:hAnsi="方正仿宋_GBK"/>
        </w:rPr>
        <w:t>合规报告：企业对合规风险事件、合规风险隐患、合规管理基本情况、合规负责人履职情况、合规管理有效性评估等事项向规定主体进行定期或不定期报告。</w:t>
      </w:r>
    </w:p>
    <w:p>
      <w:pPr>
        <w:kinsoku/>
        <w:wordWrap/>
        <w:topLinePunct w:val="0"/>
        <w:autoSpaceDE/>
        <w:autoSpaceDN/>
        <w:bidi w:val="0"/>
        <w:spacing w:line="560" w:lineRule="exact"/>
        <w:ind w:firstLine="604"/>
        <w:rPr>
          <w:rFonts w:hint="eastAsia" w:ascii="方正仿宋_GBK" w:hAnsi="方正仿宋_GBK"/>
        </w:rPr>
      </w:pPr>
      <w:r>
        <w:rPr>
          <w:rFonts w:hint="eastAsia" w:ascii="方正仿宋_GBK" w:hAnsi="方正仿宋_GBK"/>
        </w:rPr>
        <w:t>合规知识库：将外部法律法规、内部制度业务模块、业务线涉及风险点通过勾稽关系关联起来。</w:t>
      </w:r>
    </w:p>
    <w:p>
      <w:pPr>
        <w:pStyle w:val="8"/>
        <w:kinsoku/>
        <w:wordWrap/>
        <w:topLinePunct w:val="0"/>
        <w:autoSpaceDE/>
        <w:autoSpaceDN/>
        <w:bidi w:val="0"/>
        <w:spacing w:before="198" w:after="198" w:line="560" w:lineRule="exact"/>
      </w:pPr>
      <w:r>
        <w:rPr>
          <w:rFonts w:hint="eastAsia"/>
        </w:rPr>
        <w:t>其他法务工作</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1.普法教育培训</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利用系统进行普法教育培训管理，包括普法教育培训会议管理、普法教育线上培训管理等等。</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2.重点工作审查</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对集团重点工作进行审查，包括重大合同、重大决策、重大制度，对三项重点工作进行审查、结果公示等。</w:t>
      </w:r>
    </w:p>
    <w:p>
      <w:pPr>
        <w:pStyle w:val="8"/>
        <w:kinsoku/>
        <w:wordWrap/>
        <w:topLinePunct w:val="0"/>
        <w:autoSpaceDE/>
        <w:autoSpaceDN/>
        <w:bidi w:val="0"/>
        <w:spacing w:before="198" w:after="198" w:line="560" w:lineRule="exact"/>
      </w:pPr>
      <w:r>
        <w:rPr>
          <w:rFonts w:hint="eastAsia"/>
        </w:rPr>
        <w:t>基础信息管理</w:t>
      </w:r>
    </w:p>
    <w:p>
      <w:pPr>
        <w:kinsoku/>
        <w:wordWrap/>
        <w:topLinePunct w:val="0"/>
        <w:autoSpaceDE/>
        <w:autoSpaceDN/>
        <w:bidi w:val="0"/>
        <w:spacing w:line="560" w:lineRule="exact"/>
        <w:ind w:firstLine="604"/>
        <w:rPr>
          <w:rFonts w:ascii="Times New Roman" w:hAnsi="Times New Roman"/>
          <w:snapToGrid w:val="0"/>
        </w:rPr>
      </w:pPr>
      <w:r>
        <w:rPr>
          <w:rFonts w:hint="eastAsia" w:ascii="Times New Roman" w:hAnsi="Times New Roman"/>
          <w:snapToGrid w:val="0"/>
        </w:rPr>
        <w:t>基础信息管理包括对法务机构维护、法务人员信息维护。</w:t>
      </w:r>
    </w:p>
    <w:p>
      <w:pPr>
        <w:kinsoku/>
        <w:wordWrap/>
        <w:topLinePunct w:val="0"/>
        <w:autoSpaceDE/>
        <w:autoSpaceDN/>
        <w:bidi w:val="0"/>
        <w:spacing w:line="560" w:lineRule="exact"/>
        <w:ind w:firstLine="604"/>
        <w:rPr>
          <w:rFonts w:ascii="Times New Roman" w:hAnsi="Times New Roman"/>
          <w:snapToGrid w:val="0"/>
        </w:rPr>
      </w:pPr>
      <w:r>
        <w:rPr>
          <w:rFonts w:hint="eastAsia" w:ascii="Times New Roman" w:hAnsi="Times New Roman"/>
          <w:snapToGrid w:val="0"/>
        </w:rPr>
        <w:t>支持对集团内部法务工作的机构管理和维护；</w:t>
      </w:r>
    </w:p>
    <w:p>
      <w:pPr>
        <w:kinsoku/>
        <w:wordWrap/>
        <w:topLinePunct w:val="0"/>
        <w:autoSpaceDE/>
        <w:autoSpaceDN/>
        <w:bidi w:val="0"/>
        <w:spacing w:line="560" w:lineRule="exact"/>
        <w:ind w:firstLine="604"/>
        <w:rPr>
          <w:rFonts w:ascii="Times New Roman" w:hAnsi="Times New Roman"/>
          <w:snapToGrid w:val="0"/>
        </w:rPr>
      </w:pPr>
      <w:r>
        <w:rPr>
          <w:rFonts w:hint="eastAsia" w:ascii="Times New Roman" w:hAnsi="Times New Roman"/>
          <w:snapToGrid w:val="0"/>
        </w:rPr>
        <w:t>支持所属子企业法律管理制度上传查询功能；</w:t>
      </w:r>
    </w:p>
    <w:p>
      <w:pPr>
        <w:kinsoku/>
        <w:wordWrap/>
        <w:topLinePunct w:val="0"/>
        <w:autoSpaceDE/>
        <w:autoSpaceDN/>
        <w:bidi w:val="0"/>
        <w:spacing w:line="560" w:lineRule="exact"/>
        <w:ind w:firstLine="604"/>
        <w:rPr>
          <w:rFonts w:ascii="Times New Roman" w:hAnsi="Times New Roman"/>
          <w:snapToGrid w:val="0"/>
        </w:rPr>
      </w:pPr>
      <w:r>
        <w:rPr>
          <w:rFonts w:hint="eastAsia" w:ascii="Times New Roman" w:hAnsi="Times New Roman"/>
          <w:snapToGrid w:val="0"/>
        </w:rPr>
        <w:t>支持建立法务人员信息库；</w:t>
      </w:r>
    </w:p>
    <w:p>
      <w:pPr>
        <w:kinsoku/>
        <w:wordWrap/>
        <w:topLinePunct w:val="0"/>
        <w:autoSpaceDE/>
        <w:autoSpaceDN/>
        <w:bidi w:val="0"/>
        <w:spacing w:line="560" w:lineRule="exact"/>
        <w:ind w:firstLine="604"/>
        <w:rPr>
          <w:rFonts w:ascii="Times New Roman" w:hAnsi="Times New Roman"/>
          <w:snapToGrid w:val="0"/>
        </w:rPr>
      </w:pPr>
      <w:r>
        <w:rPr>
          <w:rFonts w:hint="eastAsia" w:ascii="Times New Roman" w:hAnsi="Times New Roman"/>
          <w:snapToGrid w:val="0"/>
        </w:rPr>
        <w:t>支持工作动态发布功能，集团公司和所属子企业均可发布本单位法律管理工作动态；</w:t>
      </w:r>
    </w:p>
    <w:p>
      <w:pPr>
        <w:kinsoku/>
        <w:wordWrap/>
        <w:topLinePunct w:val="0"/>
        <w:autoSpaceDE/>
        <w:autoSpaceDN/>
        <w:bidi w:val="0"/>
        <w:spacing w:line="560" w:lineRule="exact"/>
        <w:ind w:firstLine="604"/>
        <w:rPr>
          <w:rFonts w:ascii="Times New Roman" w:hAnsi="Times New Roman"/>
          <w:snapToGrid w:val="0"/>
        </w:rPr>
      </w:pPr>
      <w:r>
        <w:rPr>
          <w:rFonts w:hint="eastAsia" w:ascii="Times New Roman" w:hAnsi="Times New Roman"/>
          <w:snapToGrid w:val="0"/>
        </w:rPr>
        <w:t>支持国资政策、集团公司法律管理制度及工作要求发布功能。有下载专区，集团上传培训课件、标准文件等，支持下载；</w:t>
      </w:r>
    </w:p>
    <w:p>
      <w:pPr>
        <w:kinsoku/>
        <w:wordWrap/>
        <w:topLinePunct w:val="0"/>
        <w:autoSpaceDE/>
        <w:autoSpaceDN/>
        <w:bidi w:val="0"/>
        <w:spacing w:line="560" w:lineRule="exact"/>
      </w:pPr>
      <w:r>
        <w:rPr>
          <w:rFonts w:hint="eastAsia"/>
        </w:rPr>
        <w:t>支持系统所有功能的表格导出功能。</w:t>
      </w:r>
    </w:p>
    <w:p>
      <w:pPr>
        <w:pStyle w:val="7"/>
        <w:kinsoku/>
        <w:wordWrap/>
        <w:topLinePunct w:val="0"/>
        <w:autoSpaceDE/>
        <w:autoSpaceDN/>
        <w:bidi w:val="0"/>
        <w:spacing w:before="198" w:after="198" w:line="560" w:lineRule="exact"/>
        <w:rPr>
          <w:rFonts w:hint="default"/>
        </w:rPr>
      </w:pPr>
      <w:r>
        <w:t>风险</w:t>
      </w:r>
      <w:r>
        <w:rPr>
          <w:rFonts w:hint="eastAsia"/>
          <w:lang w:val="en-US" w:eastAsia="zh-CN"/>
        </w:rPr>
        <w:t>管理</w:t>
      </w:r>
    </w:p>
    <w:p>
      <w:pPr>
        <w:kinsoku/>
        <w:wordWrap/>
        <w:topLinePunct w:val="0"/>
        <w:autoSpaceDE/>
        <w:autoSpaceDN/>
        <w:bidi w:val="0"/>
        <w:spacing w:line="560" w:lineRule="exact"/>
        <w:ind w:firstLine="604"/>
        <w:rPr>
          <w:rFonts w:hint="eastAsia" w:ascii="方正仿宋_GBK" w:hAnsi="方正仿宋_GBK" w:eastAsia="方正仿宋_GBK"/>
          <w:snapToGrid w:val="0"/>
          <w:lang w:eastAsia="zh-CN"/>
        </w:rPr>
      </w:pPr>
      <w:r>
        <w:rPr>
          <w:rFonts w:hint="eastAsia" w:ascii="方正仿宋_GBK" w:hAnsi="方正仿宋_GBK"/>
          <w:snapToGrid w:val="0"/>
        </w:rPr>
        <w:t>建立上下贯通、横向协同的排查、填报、防范机制，保障风险管理工作体系有序高效运行。同时能够细化重大经营风险事件标准，明确责任分工，畅通报告渠道，加强对敏感性信息识别及预判预警，做到重大风险早发现、早报告、早处置</w:t>
      </w:r>
      <w:r>
        <w:rPr>
          <w:rFonts w:hint="eastAsia" w:ascii="方正仿宋_GBK" w:hAnsi="方正仿宋_GBK"/>
          <w:snapToGrid w:val="0"/>
          <w:lang w:eastAsia="zh-CN"/>
        </w:rPr>
        <w:t>。风险类型以集团风险指导意见为准。</w:t>
      </w:r>
    </w:p>
    <w:p>
      <w:pPr>
        <w:pStyle w:val="8"/>
        <w:kinsoku/>
        <w:wordWrap/>
        <w:topLinePunct w:val="0"/>
        <w:autoSpaceDE/>
        <w:autoSpaceDN/>
        <w:bidi w:val="0"/>
        <w:spacing w:before="198" w:after="198" w:line="560" w:lineRule="exact"/>
      </w:pPr>
      <w:r>
        <w:rPr>
          <w:rFonts w:hint="eastAsia"/>
        </w:rPr>
        <w:t>风险</w:t>
      </w:r>
      <w:r>
        <w:rPr>
          <w:rFonts w:hint="eastAsia"/>
          <w:lang w:val="en-US" w:eastAsia="zh-CN"/>
        </w:rPr>
        <w:t>收集</w:t>
      </w:r>
    </w:p>
    <w:p>
      <w:pPr>
        <w:kinsoku/>
        <w:wordWrap/>
        <w:topLinePunct w:val="0"/>
        <w:autoSpaceDE/>
        <w:autoSpaceDN/>
        <w:bidi w:val="0"/>
        <w:spacing w:line="560" w:lineRule="exact"/>
        <w:ind w:firstLine="604"/>
        <w:rPr>
          <w:rFonts w:hint="eastAsia" w:ascii="方正仿宋_GBK" w:hAnsi="方正仿宋_GBK"/>
        </w:rPr>
      </w:pPr>
      <w:r>
        <w:rPr>
          <w:rFonts w:hint="eastAsia" w:ascii="方正仿宋_GBK" w:hAnsi="方正仿宋_GBK"/>
        </w:rPr>
        <w:t>系统应具备支持通过风险信息收集、整理、记录、汇总、分析的功能，建立收集、识别、评估、汇总、方案落实追踪等流程，细化每个环节操作设计。</w:t>
      </w:r>
    </w:p>
    <w:p>
      <w:pPr>
        <w:kinsoku/>
        <w:wordWrap/>
        <w:topLinePunct w:val="0"/>
        <w:autoSpaceDE/>
        <w:autoSpaceDN/>
        <w:bidi w:val="0"/>
        <w:spacing w:line="560" w:lineRule="exact"/>
        <w:ind w:firstLine="604"/>
        <w:rPr>
          <w:rFonts w:hint="eastAsia" w:ascii="方正仿宋_GBK" w:hAnsi="方正仿宋_GBK"/>
        </w:rPr>
      </w:pPr>
      <w:r>
        <w:rPr>
          <w:rFonts w:hint="eastAsia" w:ascii="方正仿宋_GBK" w:hAnsi="方正仿宋_GBK"/>
        </w:rPr>
        <w:t>1.风险收集</w:t>
      </w:r>
    </w:p>
    <w:p>
      <w:pPr>
        <w:kinsoku/>
        <w:wordWrap/>
        <w:topLinePunct w:val="0"/>
        <w:autoSpaceDE/>
        <w:autoSpaceDN/>
        <w:bidi w:val="0"/>
        <w:spacing w:line="560" w:lineRule="exact"/>
        <w:ind w:firstLine="604"/>
        <w:rPr>
          <w:rFonts w:hint="eastAsia" w:ascii="方正仿宋_GBK" w:hAnsi="方正仿宋_GBK"/>
        </w:rPr>
      </w:pPr>
      <w:r>
        <w:rPr>
          <w:rFonts w:hint="eastAsia" w:ascii="方正仿宋_GBK" w:hAnsi="方正仿宋_GBK"/>
        </w:rPr>
        <w:t>集团公司各职能部门及所出资企业在日常工作中，应持续收集与本部门、本企业相关的内外部信息，包括企业运营机制及工作控制流程，行业历史数据和未来预测数据等，并统一交由本单位风控部在系统上进行信息整理、记录。</w:t>
      </w:r>
    </w:p>
    <w:p>
      <w:pPr>
        <w:kinsoku/>
        <w:wordWrap/>
        <w:topLinePunct w:val="0"/>
        <w:autoSpaceDE/>
        <w:autoSpaceDN/>
        <w:bidi w:val="0"/>
        <w:spacing w:line="560" w:lineRule="exact"/>
        <w:ind w:firstLine="604"/>
        <w:rPr>
          <w:rFonts w:hint="eastAsia" w:ascii="方正仿宋_GBK" w:hAnsi="方正仿宋_GBK"/>
        </w:rPr>
      </w:pPr>
      <w:r>
        <w:rPr>
          <w:rFonts w:hint="eastAsia" w:ascii="方正仿宋_GBK" w:hAnsi="方正仿宋_GBK"/>
        </w:rPr>
        <w:t>2.风险归类填报</w:t>
      </w:r>
    </w:p>
    <w:p>
      <w:pPr>
        <w:kinsoku/>
        <w:wordWrap/>
        <w:topLinePunct w:val="0"/>
        <w:autoSpaceDE/>
        <w:autoSpaceDN/>
        <w:bidi w:val="0"/>
        <w:spacing w:line="560" w:lineRule="exact"/>
        <w:ind w:firstLine="604"/>
        <w:rPr>
          <w:rFonts w:hint="eastAsia" w:ascii="方正仿宋_GBK" w:hAnsi="方正仿宋_GBK"/>
        </w:rPr>
      </w:pPr>
      <w:r>
        <w:rPr>
          <w:rFonts w:hint="eastAsia" w:ascii="方正仿宋_GBK" w:hAnsi="方正仿宋_GBK"/>
        </w:rPr>
        <w:t>系统建立填报模块，嵌入风险信息分类、评价表，并在相关风险处接入集团风险信息指导意见对应的评定依据与内容提示，集团公司各职能部门及所出资企业识别出经营管理每个环节所存在的风险点，以及此环节的风险点的风险事件表现，对于风险识别出的风险点，从风险发生可能性、风险影响程度两个维度进行评估打分，生成风险等级，形成分类分层级的风险地图。风险评估的过程包括评估计划、风险评估填报、评估审核等环节，正确进行归类填入风险信息分类、评价表。</w:t>
      </w:r>
    </w:p>
    <w:p>
      <w:pPr>
        <w:kinsoku/>
        <w:wordWrap/>
        <w:topLinePunct w:val="0"/>
        <w:autoSpaceDE/>
        <w:autoSpaceDN/>
        <w:bidi w:val="0"/>
        <w:spacing w:line="560" w:lineRule="exact"/>
        <w:ind w:firstLine="604"/>
        <w:rPr>
          <w:rFonts w:hint="eastAsia" w:ascii="方正仿宋_GBK" w:hAnsi="方正仿宋_GBK"/>
        </w:rPr>
      </w:pPr>
      <w:r>
        <w:rPr>
          <w:rFonts w:hint="eastAsia" w:ascii="方正仿宋_GBK" w:hAnsi="方正仿宋_GBK"/>
        </w:rPr>
        <w:t>3.风险审核</w:t>
      </w:r>
    </w:p>
    <w:p>
      <w:pPr>
        <w:kinsoku/>
        <w:wordWrap/>
        <w:topLinePunct w:val="0"/>
        <w:autoSpaceDE/>
        <w:autoSpaceDN/>
        <w:bidi w:val="0"/>
        <w:spacing w:line="560" w:lineRule="exact"/>
        <w:ind w:firstLine="604"/>
        <w:rPr>
          <w:rFonts w:hint="eastAsia" w:ascii="方正仿宋_GBK" w:hAnsi="方正仿宋_GBK"/>
        </w:rPr>
      </w:pPr>
      <w:r>
        <w:rPr>
          <w:rFonts w:hint="eastAsia" w:ascii="方正仿宋_GBK" w:hAnsi="方正仿宋_GBK"/>
        </w:rPr>
        <w:t>该功能应支持子企业风控分管领导对本单位风险分类、评价表进行审核。</w:t>
      </w:r>
    </w:p>
    <w:p>
      <w:pPr>
        <w:kinsoku/>
        <w:wordWrap/>
        <w:topLinePunct w:val="0"/>
        <w:autoSpaceDE/>
        <w:autoSpaceDN/>
        <w:bidi w:val="0"/>
        <w:spacing w:line="560" w:lineRule="exact"/>
        <w:ind w:firstLine="604"/>
        <w:rPr>
          <w:rFonts w:hint="eastAsia" w:ascii="方正仿宋_GBK" w:hAnsi="方正仿宋_GBK"/>
        </w:rPr>
      </w:pPr>
      <w:r>
        <w:rPr>
          <w:rFonts w:hint="eastAsia" w:ascii="方正仿宋_GBK" w:hAnsi="方正仿宋_GBK"/>
        </w:rPr>
        <w:t>4.子企业领导班子成员对年度风险表格进行审定。</w:t>
      </w:r>
    </w:p>
    <w:p>
      <w:pPr>
        <w:pStyle w:val="8"/>
        <w:kinsoku/>
        <w:wordWrap/>
        <w:topLinePunct w:val="0"/>
        <w:autoSpaceDE/>
        <w:autoSpaceDN/>
        <w:bidi w:val="0"/>
        <w:spacing w:before="198" w:after="198" w:line="560" w:lineRule="exact"/>
      </w:pPr>
      <w:r>
        <w:rPr>
          <w:rFonts w:hint="eastAsia"/>
        </w:rPr>
        <w:t>风险上报</w:t>
      </w:r>
    </w:p>
    <w:p>
      <w:pPr>
        <w:kinsoku/>
        <w:wordWrap/>
        <w:topLinePunct w:val="0"/>
        <w:autoSpaceDE/>
        <w:autoSpaceDN/>
        <w:bidi w:val="0"/>
        <w:spacing w:line="560" w:lineRule="exact"/>
        <w:ind w:firstLine="604"/>
        <w:rPr>
          <w:rFonts w:hint="eastAsia" w:ascii="方正仿宋_GBK" w:hAnsi="方正仿宋_GBK"/>
        </w:rPr>
      </w:pPr>
      <w:r>
        <w:rPr>
          <w:rFonts w:hint="eastAsia" w:ascii="方正仿宋_GBK" w:hAnsi="方正仿宋_GBK"/>
        </w:rPr>
        <w:t>1.系统支持风险人工上报功能，人工直接通过平台手工录入风险信息并进行上报。</w:t>
      </w:r>
    </w:p>
    <w:p>
      <w:pPr>
        <w:kinsoku/>
        <w:wordWrap/>
        <w:topLinePunct w:val="0"/>
        <w:autoSpaceDE/>
        <w:autoSpaceDN/>
        <w:bidi w:val="0"/>
        <w:spacing w:line="560" w:lineRule="exact"/>
        <w:ind w:firstLine="604"/>
        <w:rPr>
          <w:rFonts w:hint="eastAsia" w:ascii="方正仿宋_GBK" w:hAnsi="方正仿宋_GBK"/>
        </w:rPr>
      </w:pPr>
      <w:r>
        <w:rPr>
          <w:rFonts w:hint="eastAsia" w:ascii="方正仿宋_GBK" w:hAnsi="方正仿宋_GBK"/>
        </w:rPr>
        <w:t>2.集团风控部进行集中汇总梳理</w:t>
      </w:r>
    </w:p>
    <w:p>
      <w:pPr>
        <w:kinsoku/>
        <w:wordWrap/>
        <w:topLinePunct w:val="0"/>
        <w:autoSpaceDE/>
        <w:autoSpaceDN/>
        <w:bidi w:val="0"/>
        <w:spacing w:line="560" w:lineRule="exact"/>
        <w:ind w:firstLine="604"/>
        <w:rPr>
          <w:rFonts w:hint="eastAsia" w:ascii="方正仿宋_GBK" w:hAnsi="方正仿宋_GBK"/>
        </w:rPr>
      </w:pPr>
      <w:r>
        <w:rPr>
          <w:rFonts w:hint="eastAsia" w:ascii="方正仿宋_GBK" w:hAnsi="方正仿宋_GBK"/>
        </w:rPr>
        <w:t>3.风险审定：支持集团公司风险领导小组成员对全集团年度风险表格进行审定。</w:t>
      </w:r>
    </w:p>
    <w:p>
      <w:pPr>
        <w:pStyle w:val="8"/>
        <w:kinsoku/>
        <w:wordWrap/>
        <w:topLinePunct w:val="0"/>
        <w:autoSpaceDE/>
        <w:autoSpaceDN/>
        <w:bidi w:val="0"/>
        <w:spacing w:before="198" w:after="198" w:line="560" w:lineRule="exact"/>
      </w:pPr>
      <w:r>
        <w:rPr>
          <w:rFonts w:hint="eastAsia"/>
        </w:rPr>
        <w:t>风险预警</w:t>
      </w:r>
    </w:p>
    <w:p>
      <w:pPr>
        <w:kinsoku/>
        <w:wordWrap/>
        <w:topLinePunct w:val="0"/>
        <w:autoSpaceDE/>
        <w:autoSpaceDN/>
        <w:bidi w:val="0"/>
        <w:spacing w:line="560" w:lineRule="exact"/>
        <w:ind w:firstLine="604"/>
      </w:pPr>
      <w:r>
        <w:rPr>
          <w:rFonts w:hint="eastAsia"/>
        </w:rPr>
        <w:t>根据风险管理要求，针对风险等级较高或企业重点关注的风险点，系统能够进行风险预警指标的设定。对于可量化的指标，设定指标的上限值、下限值、标准值等不同阈值，通过与业务数据交互和计算，数据不在预警指标阈值范围内时，系统启动预警体系，按照预警通知范围进行预警通知，生成风险预警信息。</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系统应支持通过使用预警体系，实现风险预警信息化，保证风险预警的及时性、准确性、应对措施的高效性和可追溯性。</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1.风险预警等级定义</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定义风险预警等级。</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2.风险预警范围定义</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定义风险预警范围。</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3.预警组织机构定义</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设置风险预警的组织机构。</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4.风险预警指标体系</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设置风险预警指标体系。</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5.财务风险量化规则定义</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设置财务预警规则。</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6.风险预警信息</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包括风险预警等级、风险预警范围、事件预警查询、处置。</w:t>
      </w:r>
    </w:p>
    <w:p>
      <w:pPr>
        <w:pStyle w:val="8"/>
        <w:kinsoku/>
        <w:wordWrap/>
        <w:topLinePunct w:val="0"/>
        <w:autoSpaceDE/>
        <w:autoSpaceDN/>
        <w:bidi w:val="0"/>
        <w:spacing w:before="198" w:after="198" w:line="560" w:lineRule="exact"/>
      </w:pPr>
      <w:r>
        <w:rPr>
          <w:rFonts w:hint="eastAsia"/>
        </w:rPr>
        <w:t>风险应对</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风险管理系统会根据设定的风险表单动态预警可能存在的风险，展示风险发生的具体情况，提醒企业领导业务人员和领导，引起高度重视；同时要求对应人员做出响应，采取相应风险应对措施或提出相应处理意见。</w:t>
      </w:r>
    </w:p>
    <w:p>
      <w:pPr>
        <w:numPr>
          <w:ilvl w:val="0"/>
          <w:numId w:val="66"/>
        </w:num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系统支持风险信息的跟踪、处理、反馈、评价的管理，支持与流程、预警消息提醒等协同；</w:t>
      </w:r>
    </w:p>
    <w:p>
      <w:pPr>
        <w:numPr>
          <w:ilvl w:val="0"/>
          <w:numId w:val="66"/>
        </w:num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支持不同审批环节、不同处置人处置不同静态风险指标及措施或者动态风险指标及措施；</w:t>
      </w:r>
    </w:p>
    <w:p>
      <w:pPr>
        <w:numPr>
          <w:ilvl w:val="0"/>
          <w:numId w:val="66"/>
        </w:num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支持可视化处置模式；</w:t>
      </w:r>
    </w:p>
    <w:p>
      <w:pPr>
        <w:numPr>
          <w:ilvl w:val="0"/>
          <w:numId w:val="66"/>
        </w:num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支持处置详情查看；</w:t>
      </w:r>
    </w:p>
    <w:p>
      <w:pPr>
        <w:numPr>
          <w:ilvl w:val="0"/>
          <w:numId w:val="66"/>
        </w:num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支持多风险指标处置措施；</w:t>
      </w:r>
    </w:p>
    <w:p>
      <w:pPr>
        <w:numPr>
          <w:ilvl w:val="0"/>
          <w:numId w:val="66"/>
        </w:num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支持处置意见给定，系统支持是否处置校验规则。</w:t>
      </w:r>
    </w:p>
    <w:p>
      <w:pPr>
        <w:pStyle w:val="8"/>
        <w:kinsoku/>
        <w:wordWrap/>
        <w:topLinePunct w:val="0"/>
        <w:autoSpaceDE/>
        <w:autoSpaceDN/>
        <w:bidi w:val="0"/>
        <w:spacing w:before="198" w:after="198" w:line="560" w:lineRule="exact"/>
      </w:pPr>
      <w:r>
        <w:rPr>
          <w:rFonts w:hint="eastAsia"/>
        </w:rPr>
        <w:t>风险报告</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对企业风险报告进行管理，包含风险报告计划、定期风险报告、不定期风险报告、风险报告整理、风险报告查询、风险报告归档、风险报告导出。</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1.风险报告计划</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包括年度、季度、月度、日常报告、专项风险报告。</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2.定期风险报告</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定期报告包括月度报告、季度报告、月度报告等。</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3.不定期风险报告</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业务部门风控专员收到计划后，若日常中有需要进行上报的事项，可填报日常报告后提交风控合规部审批。</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4.风险报告整理</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风险合规部对业务部门提交上来的风险报告进行整理，可以选择通过或不通过。</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5.风险报告查询</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选择要生成报告的计划，针对该计划填报主要任务、任务目标、报告内容、工作计划，填报后提交审批。</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6.风险报告归档</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可对已通过的风险报告进行归档处理。</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7.风险报告导出</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可以导出风险报告到本地。</w:t>
      </w:r>
    </w:p>
    <w:p>
      <w:pPr>
        <w:pStyle w:val="8"/>
        <w:kinsoku/>
        <w:wordWrap/>
        <w:topLinePunct w:val="0"/>
        <w:autoSpaceDE/>
        <w:autoSpaceDN/>
        <w:bidi w:val="0"/>
        <w:spacing w:before="198" w:after="198" w:line="560" w:lineRule="exact"/>
      </w:pPr>
      <w:r>
        <w:rPr>
          <w:rFonts w:hint="eastAsia"/>
        </w:rPr>
        <w:t>风控溯源</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系统支持在发现一个风险点，相关数据、信息均可展现，通过风控溯源能力，不止于发现风险，同时，风险相关背景信息、关键数据均可全面掌握，追根溯源，便于快速应对。</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支持汇总展示风险分布情况，包括风险发生数据坐标图统计、风险类型统计、部门风险统计图和月份风险趋势图四种统计方式；</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支持查看具体风险指标、处置措施和处置意见；</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支持风险统计数据联查明细；</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支持明细数据联查原始业务单据；</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支持风险指标关闭与开启。</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1.风险分布图统计</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依据风险发生的具体情况，按风险级别的高低顺序进行排序，动态形成风险坐标分布统计图：</w:t>
      </w:r>
    </w:p>
    <w:p>
      <w:pPr>
        <w:kinsoku/>
        <w:wordWrap/>
        <w:topLinePunct w:val="0"/>
        <w:autoSpaceDE/>
        <w:autoSpaceDN/>
        <w:bidi w:val="0"/>
        <w:spacing w:line="560" w:lineRule="exact"/>
        <w:ind w:firstLine="560"/>
        <w:jc w:val="center"/>
        <w:rPr>
          <w:rFonts w:ascii="方正仿宋_GBK" w:hAnsi="方正仿宋_GBK"/>
        </w:rPr>
      </w:pPr>
      <w:r>
        <w:rPr>
          <w:rFonts w:hint="eastAsia" w:ascii="方正仿宋_GBK" w:hAnsi="方正仿宋_GBK"/>
        </w:rPr>
        <w:drawing>
          <wp:inline distT="0" distB="0" distL="0" distR="0">
            <wp:extent cx="2804795" cy="1799590"/>
            <wp:effectExtent l="0" t="0" r="14605" b="10160"/>
            <wp:docPr id="468" name="图片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468"/>
                    <pic:cNvPicPr>
                      <a:picLocks noChangeAspect="1"/>
                    </pic:cNvPicPr>
                  </pic:nvPicPr>
                  <pic:blipFill>
                    <a:blip r:embed="rId14"/>
                    <a:srcRect t="5970" b="4985"/>
                    <a:stretch>
                      <a:fillRect/>
                    </a:stretch>
                  </pic:blipFill>
                  <pic:spPr>
                    <a:xfrm>
                      <a:off x="0" y="0"/>
                      <a:ext cx="2805287" cy="1800000"/>
                    </a:xfrm>
                    <a:prstGeom prst="rect">
                      <a:avLst/>
                    </a:prstGeom>
                    <a:ln>
                      <a:noFill/>
                    </a:ln>
                  </pic:spPr>
                </pic:pic>
              </a:graphicData>
            </a:graphic>
          </wp:inline>
        </w:drawing>
      </w:r>
    </w:p>
    <w:p>
      <w:pPr>
        <w:numPr>
          <w:ilvl w:val="0"/>
          <w:numId w:val="10"/>
        </w:numPr>
        <w:tabs>
          <w:tab w:val="left" w:pos="0"/>
        </w:tabs>
        <w:kinsoku/>
        <w:wordWrap/>
        <w:topLinePunct w:val="0"/>
        <w:autoSpaceDE/>
        <w:autoSpaceDN/>
        <w:bidi w:val="0"/>
        <w:spacing w:before="198" w:beforeLines="50" w:after="397" w:afterLines="100" w:line="560" w:lineRule="exact"/>
        <w:ind w:firstLineChars="0"/>
        <w:jc w:val="center"/>
        <w:rPr>
          <w:rFonts w:ascii="方正仿宋_GBK" w:hAnsi="方正仿宋_GBK"/>
          <w:snapToGrid w:val="0"/>
          <w:spacing w:val="0"/>
        </w:rPr>
      </w:pPr>
      <w:r>
        <w:rPr>
          <w:rFonts w:hint="eastAsia" w:ascii="方正仿宋_GBK" w:hAnsi="方正仿宋_GBK"/>
          <w:snapToGrid w:val="0"/>
          <w:spacing w:val="0"/>
        </w:rPr>
        <w:t xml:space="preserve"> 风险坐标分布统计图</w:t>
      </w:r>
    </w:p>
    <w:p>
      <w:pPr>
        <w:numPr>
          <w:ilvl w:val="0"/>
          <w:numId w:val="67"/>
        </w:numPr>
        <w:kinsoku/>
        <w:wordWrap/>
        <w:topLinePunct w:val="0"/>
        <w:autoSpaceDE/>
        <w:autoSpaceDN/>
        <w:bidi w:val="0"/>
        <w:spacing w:line="560" w:lineRule="exact"/>
        <w:ind w:left="0" w:firstLine="604"/>
      </w:pPr>
      <w:r>
        <w:rPr>
          <w:rFonts w:hint="eastAsia"/>
        </w:rPr>
        <w:t>以可能性为横坐标、以影响程度为纵坐标，将单位风险在风险坐标图中显示，以展现单位风险的全景；</w:t>
      </w:r>
    </w:p>
    <w:p>
      <w:pPr>
        <w:numPr>
          <w:ilvl w:val="0"/>
          <w:numId w:val="67"/>
        </w:numPr>
        <w:kinsoku/>
        <w:wordWrap/>
        <w:topLinePunct w:val="0"/>
        <w:autoSpaceDE/>
        <w:autoSpaceDN/>
        <w:bidi w:val="0"/>
        <w:spacing w:line="560" w:lineRule="exact"/>
        <w:ind w:left="0" w:firstLine="604"/>
      </w:pPr>
      <w:r>
        <w:rPr>
          <w:rFonts w:hint="eastAsia"/>
        </w:rPr>
        <w:t>支持风险查询展示；</w:t>
      </w:r>
    </w:p>
    <w:p>
      <w:pPr>
        <w:numPr>
          <w:ilvl w:val="0"/>
          <w:numId w:val="67"/>
        </w:numPr>
        <w:kinsoku/>
        <w:wordWrap/>
        <w:topLinePunct w:val="0"/>
        <w:autoSpaceDE/>
        <w:autoSpaceDN/>
        <w:bidi w:val="0"/>
        <w:spacing w:line="560" w:lineRule="exact"/>
        <w:ind w:left="0" w:firstLine="604"/>
      </w:pPr>
      <w:r>
        <w:rPr>
          <w:rFonts w:hint="eastAsia"/>
        </w:rPr>
        <w:t>支持查看全部风险、低风险、中风险、高风险、前十大风险的风险地图，打印或导出风险地图并查看风险详情。</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2.风险类型统计</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依据风险发生的具体情况，按风险类型进行汇总统计，动态形成风险类型统计图：</w:t>
      </w:r>
    </w:p>
    <w:p>
      <w:pPr>
        <w:kinsoku/>
        <w:wordWrap/>
        <w:topLinePunct w:val="0"/>
        <w:autoSpaceDE/>
        <w:autoSpaceDN/>
        <w:bidi w:val="0"/>
        <w:spacing w:line="560" w:lineRule="exact"/>
        <w:ind w:firstLine="604"/>
        <w:jc w:val="center"/>
        <w:rPr>
          <w:rFonts w:ascii="方正仿宋_GBK" w:hAnsi="方正仿宋_GBK"/>
        </w:rPr>
      </w:pPr>
    </w:p>
    <w:p>
      <w:pPr>
        <w:kinsoku/>
        <w:wordWrap/>
        <w:topLinePunct w:val="0"/>
        <w:autoSpaceDE/>
        <w:autoSpaceDN/>
        <w:bidi w:val="0"/>
        <w:spacing w:line="560" w:lineRule="exact"/>
        <w:ind w:firstLine="560"/>
        <w:jc w:val="center"/>
        <w:rPr>
          <w:rFonts w:ascii="方正仿宋_GBK" w:hAnsi="方正仿宋_GBK"/>
        </w:rPr>
      </w:pPr>
      <w:r>
        <w:rPr>
          <w:rFonts w:hint="eastAsia" w:ascii="方正仿宋_GBK" w:hAnsi="方正仿宋_GBK"/>
        </w:rPr>
        <w:drawing>
          <wp:inline distT="0" distB="0" distL="0" distR="0">
            <wp:extent cx="2616200" cy="1717040"/>
            <wp:effectExtent l="0" t="0" r="12700" b="16510"/>
            <wp:docPr id="469" name="图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469"/>
                    <pic:cNvPicPr>
                      <a:picLocks noChangeAspect="1"/>
                    </pic:cNvPicPr>
                  </pic:nvPicPr>
                  <pic:blipFill>
                    <a:blip r:embed="rId15"/>
                    <a:srcRect t="11225" b="3293"/>
                    <a:stretch>
                      <a:fillRect/>
                    </a:stretch>
                  </pic:blipFill>
                  <pic:spPr>
                    <a:xfrm>
                      <a:off x="0" y="0"/>
                      <a:ext cx="2616726" cy="1717040"/>
                    </a:xfrm>
                    <a:prstGeom prst="rect">
                      <a:avLst/>
                    </a:prstGeom>
                    <a:ln>
                      <a:noFill/>
                    </a:ln>
                  </pic:spPr>
                </pic:pic>
              </a:graphicData>
            </a:graphic>
          </wp:inline>
        </w:drawing>
      </w:r>
    </w:p>
    <w:p>
      <w:pPr>
        <w:numPr>
          <w:ilvl w:val="0"/>
          <w:numId w:val="10"/>
        </w:numPr>
        <w:tabs>
          <w:tab w:val="left" w:pos="0"/>
        </w:tabs>
        <w:kinsoku/>
        <w:wordWrap/>
        <w:topLinePunct w:val="0"/>
        <w:autoSpaceDE/>
        <w:autoSpaceDN/>
        <w:bidi w:val="0"/>
        <w:spacing w:before="198" w:beforeLines="50" w:after="397" w:afterLines="100" w:line="560" w:lineRule="exact"/>
        <w:ind w:firstLineChars="0"/>
        <w:jc w:val="center"/>
        <w:rPr>
          <w:rFonts w:ascii="方正仿宋_GBK" w:hAnsi="方正仿宋_GBK"/>
          <w:snapToGrid w:val="0"/>
          <w:spacing w:val="0"/>
        </w:rPr>
      </w:pPr>
      <w:r>
        <w:rPr>
          <w:rFonts w:hint="eastAsia" w:ascii="方正仿宋_GBK" w:hAnsi="方正仿宋_GBK"/>
          <w:snapToGrid w:val="0"/>
          <w:spacing w:val="0"/>
        </w:rPr>
        <w:t xml:space="preserve"> 风险类型统计图</w:t>
      </w:r>
    </w:p>
    <w:p>
      <w:pPr>
        <w:numPr>
          <w:ilvl w:val="0"/>
          <w:numId w:val="68"/>
        </w:numPr>
        <w:kinsoku/>
        <w:wordWrap/>
        <w:topLinePunct w:val="0"/>
        <w:autoSpaceDE/>
        <w:autoSpaceDN/>
        <w:bidi w:val="0"/>
        <w:spacing w:line="560" w:lineRule="exact"/>
        <w:ind w:left="0" w:firstLine="604"/>
      </w:pPr>
      <w:r>
        <w:rPr>
          <w:rFonts w:hint="eastAsia"/>
        </w:rPr>
        <w:t>以风险类型为横坐标、以风险发生数量为纵坐标，将单位风险发生数据进行统计，以展现单位风险类型发生情况；</w:t>
      </w:r>
    </w:p>
    <w:p>
      <w:pPr>
        <w:numPr>
          <w:ilvl w:val="0"/>
          <w:numId w:val="68"/>
        </w:numPr>
        <w:kinsoku/>
        <w:wordWrap/>
        <w:topLinePunct w:val="0"/>
        <w:autoSpaceDE/>
        <w:autoSpaceDN/>
        <w:bidi w:val="0"/>
        <w:spacing w:line="560" w:lineRule="exact"/>
        <w:ind w:left="0" w:firstLine="604"/>
      </w:pPr>
      <w:r>
        <w:rPr>
          <w:rFonts w:hint="eastAsia"/>
        </w:rPr>
        <w:t>支持风险查询展示；</w:t>
      </w:r>
    </w:p>
    <w:p>
      <w:pPr>
        <w:numPr>
          <w:ilvl w:val="0"/>
          <w:numId w:val="68"/>
        </w:numPr>
        <w:kinsoku/>
        <w:wordWrap/>
        <w:topLinePunct w:val="0"/>
        <w:autoSpaceDE/>
        <w:autoSpaceDN/>
        <w:bidi w:val="0"/>
        <w:spacing w:line="560" w:lineRule="exact"/>
        <w:ind w:left="0" w:firstLine="604"/>
      </w:pPr>
      <w:r>
        <w:rPr>
          <w:rFonts w:hint="eastAsia"/>
        </w:rPr>
        <w:t>支持查看不同类型风险组成详情。</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3.部门风险统计</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依据风险发生的具体情况，以部门为统计维度，按风险级别的高低顺序进行排序，动态形成部门风险统计图：</w:t>
      </w:r>
    </w:p>
    <w:p>
      <w:pPr>
        <w:kinsoku/>
        <w:wordWrap/>
        <w:topLinePunct w:val="0"/>
        <w:autoSpaceDE/>
        <w:autoSpaceDN/>
        <w:bidi w:val="0"/>
        <w:spacing w:line="560" w:lineRule="exact"/>
        <w:ind w:firstLine="0" w:firstLineChars="0"/>
        <w:rPr>
          <w:rFonts w:ascii="方正仿宋_GBK" w:hAnsi="方正仿宋_GBK"/>
        </w:rPr>
      </w:pPr>
    </w:p>
    <w:p>
      <w:pPr>
        <w:kinsoku/>
        <w:wordWrap/>
        <w:topLinePunct w:val="0"/>
        <w:autoSpaceDE/>
        <w:autoSpaceDN/>
        <w:bidi w:val="0"/>
        <w:spacing w:line="560" w:lineRule="exact"/>
        <w:ind w:firstLine="0" w:firstLineChars="0"/>
        <w:rPr>
          <w:rFonts w:ascii="方正仿宋_GBK" w:hAnsi="方正仿宋_GBK"/>
        </w:rPr>
      </w:pPr>
      <w:r>
        <w:rPr>
          <w:rFonts w:hint="eastAsia" w:ascii="方正仿宋_GBK" w:hAnsi="方正仿宋_GBK"/>
        </w:rPr>
        <w:drawing>
          <wp:inline distT="0" distB="0" distL="0" distR="0">
            <wp:extent cx="5278120" cy="1367790"/>
            <wp:effectExtent l="0" t="0" r="17780" b="3810"/>
            <wp:docPr id="470" name="图片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470"/>
                    <pic:cNvPicPr>
                      <a:picLocks noChangeAspect="1"/>
                    </pic:cNvPicPr>
                  </pic:nvPicPr>
                  <pic:blipFill>
                    <a:blip r:embed="rId16"/>
                    <a:srcRect t="9764" b="9110"/>
                    <a:stretch>
                      <a:fillRect/>
                    </a:stretch>
                  </pic:blipFill>
                  <pic:spPr>
                    <a:xfrm>
                      <a:off x="0" y="0"/>
                      <a:ext cx="5278120" cy="1367790"/>
                    </a:xfrm>
                    <a:prstGeom prst="rect">
                      <a:avLst/>
                    </a:prstGeom>
                    <a:ln>
                      <a:noFill/>
                    </a:ln>
                  </pic:spPr>
                </pic:pic>
              </a:graphicData>
            </a:graphic>
          </wp:inline>
        </w:drawing>
      </w:r>
    </w:p>
    <w:p>
      <w:pPr>
        <w:numPr>
          <w:ilvl w:val="0"/>
          <w:numId w:val="10"/>
        </w:numPr>
        <w:tabs>
          <w:tab w:val="left" w:pos="0"/>
        </w:tabs>
        <w:kinsoku/>
        <w:wordWrap/>
        <w:topLinePunct w:val="0"/>
        <w:autoSpaceDE/>
        <w:autoSpaceDN/>
        <w:bidi w:val="0"/>
        <w:spacing w:before="198" w:beforeLines="50" w:after="397" w:afterLines="100" w:line="560" w:lineRule="exact"/>
        <w:ind w:firstLineChars="0"/>
        <w:jc w:val="center"/>
        <w:rPr>
          <w:rFonts w:ascii="方正仿宋_GBK" w:hAnsi="方正仿宋_GBK"/>
          <w:snapToGrid w:val="0"/>
          <w:spacing w:val="0"/>
        </w:rPr>
      </w:pPr>
      <w:r>
        <w:rPr>
          <w:rFonts w:hint="eastAsia" w:ascii="方正仿宋_GBK" w:hAnsi="方正仿宋_GBK"/>
          <w:snapToGrid w:val="0"/>
          <w:spacing w:val="0"/>
        </w:rPr>
        <w:t xml:space="preserve"> 部门风险统计图</w:t>
      </w:r>
    </w:p>
    <w:p>
      <w:pPr>
        <w:numPr>
          <w:ilvl w:val="0"/>
          <w:numId w:val="69"/>
        </w:numPr>
        <w:kinsoku/>
        <w:wordWrap/>
        <w:topLinePunct w:val="0"/>
        <w:autoSpaceDE/>
        <w:autoSpaceDN/>
        <w:bidi w:val="0"/>
        <w:spacing w:line="560" w:lineRule="exact"/>
        <w:ind w:left="0" w:firstLine="604"/>
      </w:pPr>
      <w:r>
        <w:rPr>
          <w:rFonts w:hint="eastAsia"/>
        </w:rPr>
        <w:t>以单位部门为横坐标、以风险发生数量为纵坐标，将单位风险发生数据进行统计，展现部门风险发生情况；</w:t>
      </w:r>
    </w:p>
    <w:p>
      <w:pPr>
        <w:numPr>
          <w:ilvl w:val="0"/>
          <w:numId w:val="69"/>
        </w:numPr>
        <w:kinsoku/>
        <w:wordWrap/>
        <w:topLinePunct w:val="0"/>
        <w:autoSpaceDE/>
        <w:autoSpaceDN/>
        <w:bidi w:val="0"/>
        <w:spacing w:line="560" w:lineRule="exact"/>
        <w:ind w:left="0" w:firstLine="604"/>
      </w:pPr>
      <w:r>
        <w:rPr>
          <w:rFonts w:hint="eastAsia"/>
        </w:rPr>
        <w:t>支持风险查询展示；</w:t>
      </w:r>
    </w:p>
    <w:p>
      <w:pPr>
        <w:numPr>
          <w:ilvl w:val="0"/>
          <w:numId w:val="69"/>
        </w:numPr>
        <w:kinsoku/>
        <w:wordWrap/>
        <w:topLinePunct w:val="0"/>
        <w:autoSpaceDE/>
        <w:autoSpaceDN/>
        <w:bidi w:val="0"/>
        <w:spacing w:line="560" w:lineRule="exact"/>
        <w:ind w:left="0" w:firstLine="604"/>
      </w:pPr>
      <w:r>
        <w:rPr>
          <w:rFonts w:hint="eastAsia"/>
        </w:rPr>
        <w:t>支持查看不同部门风险组成情况，不同级别风险详情查看。</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4.月份风险趋势</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依据风险发生的具体情况，以时间为统计维度，按风险级别的高低顺序进行排序，动态形成月份风险趋势图：</w:t>
      </w:r>
    </w:p>
    <w:p>
      <w:pPr>
        <w:kinsoku/>
        <w:wordWrap/>
        <w:topLinePunct w:val="0"/>
        <w:autoSpaceDE/>
        <w:autoSpaceDN/>
        <w:bidi w:val="0"/>
        <w:spacing w:line="560" w:lineRule="exact"/>
        <w:ind w:firstLine="0" w:firstLineChars="0"/>
        <w:rPr>
          <w:rFonts w:ascii="方正仿宋_GBK" w:hAnsi="方正仿宋_GBK"/>
        </w:rPr>
      </w:pPr>
      <w:r>
        <w:rPr>
          <w:rFonts w:hint="eastAsia" w:ascii="方正仿宋_GBK" w:hAnsi="方正仿宋_GBK"/>
        </w:rPr>
        <w:drawing>
          <wp:inline distT="0" distB="0" distL="0" distR="0">
            <wp:extent cx="5278120" cy="1377950"/>
            <wp:effectExtent l="0" t="0" r="17780" b="12700"/>
            <wp:docPr id="471" name="图片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471"/>
                    <pic:cNvPicPr>
                      <a:picLocks noChangeAspect="1"/>
                    </pic:cNvPicPr>
                  </pic:nvPicPr>
                  <pic:blipFill>
                    <a:blip r:embed="rId17"/>
                    <a:srcRect t="7787" b="11597"/>
                    <a:stretch>
                      <a:fillRect/>
                    </a:stretch>
                  </pic:blipFill>
                  <pic:spPr>
                    <a:xfrm>
                      <a:off x="0" y="0"/>
                      <a:ext cx="5278120" cy="1377950"/>
                    </a:xfrm>
                    <a:prstGeom prst="rect">
                      <a:avLst/>
                    </a:prstGeom>
                    <a:ln>
                      <a:noFill/>
                    </a:ln>
                  </pic:spPr>
                </pic:pic>
              </a:graphicData>
            </a:graphic>
          </wp:inline>
        </w:drawing>
      </w:r>
    </w:p>
    <w:p>
      <w:pPr>
        <w:numPr>
          <w:ilvl w:val="0"/>
          <w:numId w:val="10"/>
        </w:numPr>
        <w:tabs>
          <w:tab w:val="left" w:pos="0"/>
        </w:tabs>
        <w:kinsoku/>
        <w:wordWrap/>
        <w:topLinePunct w:val="0"/>
        <w:autoSpaceDE/>
        <w:autoSpaceDN/>
        <w:bidi w:val="0"/>
        <w:spacing w:before="198" w:beforeLines="50" w:after="397" w:afterLines="100" w:line="560" w:lineRule="exact"/>
        <w:ind w:firstLineChars="0"/>
        <w:jc w:val="center"/>
        <w:rPr>
          <w:rFonts w:ascii="方正仿宋_GBK" w:hAnsi="方正仿宋_GBK"/>
          <w:snapToGrid w:val="0"/>
          <w:spacing w:val="0"/>
        </w:rPr>
      </w:pPr>
      <w:r>
        <w:rPr>
          <w:rFonts w:hint="eastAsia" w:ascii="方正仿宋_GBK" w:hAnsi="方正仿宋_GBK"/>
          <w:snapToGrid w:val="0"/>
          <w:spacing w:val="0"/>
        </w:rPr>
        <w:t xml:space="preserve"> 月份风险趋势图</w:t>
      </w:r>
    </w:p>
    <w:p>
      <w:pPr>
        <w:pStyle w:val="8"/>
        <w:kinsoku/>
        <w:wordWrap/>
        <w:topLinePunct w:val="0"/>
        <w:autoSpaceDE/>
        <w:autoSpaceDN/>
        <w:bidi w:val="0"/>
        <w:spacing w:before="198" w:after="198" w:line="560" w:lineRule="exact"/>
      </w:pPr>
      <w:r>
        <w:rPr>
          <w:rFonts w:hint="eastAsia"/>
        </w:rPr>
        <w:t>风险事件</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系统应支持对风险事件进行管理，包含风险事件报告、风险事件跟踪、风险事件处理。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1.风险事件报告</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(1)业务部门对存在的风险点提交申请，形成风险事件。</w:t>
      </w:r>
    </w:p>
    <w:p>
      <w:pPr>
        <w:kinsoku/>
        <w:wordWrap/>
        <w:topLinePunct w:val="0"/>
        <w:autoSpaceDE/>
        <w:autoSpaceDN/>
        <w:bidi w:val="0"/>
        <w:spacing w:line="560" w:lineRule="exact"/>
        <w:ind w:firstLine="604"/>
      </w:pPr>
      <w:r>
        <w:rPr>
          <w:rFonts w:hint="eastAsia"/>
        </w:rPr>
        <w:t>(2)根据事件发生情况，登记新的风险事件（包括内部举报识别或上报的问题缺陷、外部专家识别的风险事件）报告，描述事件名称、过程描述以及相关责任人等。</w:t>
      </w:r>
    </w:p>
    <w:p>
      <w:pPr>
        <w:kinsoku/>
        <w:wordWrap/>
        <w:topLinePunct w:val="0"/>
        <w:autoSpaceDE/>
        <w:autoSpaceDN/>
        <w:bidi w:val="0"/>
        <w:spacing w:line="560" w:lineRule="exact"/>
        <w:ind w:firstLine="604"/>
      </w:pPr>
      <w:r>
        <w:rPr>
          <w:rFonts w:hint="eastAsia"/>
        </w:rPr>
        <w:t>(3)支持所有人员的创建权限；支持对登记风险事件的增、删、改、查功能；支持风险事件向合规风控人员自动报送；支持风险事件审批后向责任人的自动发送。</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2.风险事件跟踪</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对风险事件进程进行跟踪。</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3.风险事件处理</w:t>
      </w:r>
    </w:p>
    <w:p>
      <w:pPr>
        <w:numPr>
          <w:ilvl w:val="0"/>
          <w:numId w:val="70"/>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业务部门对风险事件处理的记录。</w:t>
      </w:r>
    </w:p>
    <w:p>
      <w:pPr>
        <w:numPr>
          <w:ilvl w:val="0"/>
          <w:numId w:val="70"/>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业务部门或子公司下属部门的风控专员收到风险事件识别任务后，根据目前的项目或事项情况，识别出每个环节所存在的风险点，以及此环节的风险点的风险事件表现，提交到任务创建部门进行风险时间审核。</w:t>
      </w:r>
    </w:p>
    <w:p>
      <w:pPr>
        <w:pStyle w:val="8"/>
        <w:kinsoku/>
        <w:wordWrap/>
        <w:topLinePunct w:val="0"/>
        <w:autoSpaceDE/>
        <w:autoSpaceDN/>
        <w:bidi w:val="0"/>
        <w:spacing w:before="198" w:after="198" w:line="560" w:lineRule="exact"/>
      </w:pPr>
      <w:r>
        <w:rPr>
          <w:rFonts w:hint="eastAsia"/>
        </w:rPr>
        <w:t>风险库</w:t>
      </w:r>
    </w:p>
    <w:p>
      <w:pPr>
        <w:kinsoku/>
        <w:wordWrap/>
        <w:topLinePunct w:val="0"/>
        <w:autoSpaceDE/>
        <w:autoSpaceDN/>
        <w:bidi w:val="0"/>
        <w:spacing w:line="560" w:lineRule="exact"/>
        <w:ind w:firstLine="604"/>
      </w:pPr>
      <w:r>
        <w:rPr>
          <w:rFonts w:hint="eastAsia"/>
        </w:rPr>
        <w:t>1.风险指标库</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风险分析是风险应对的基础，没有客观、充分、合理的风险分析，风险应对将是无的放矢或效率低下的。单位在具体开展风险分析时，应从单位经济活动的具体情况出发，运用适当的风险分析技术，定量或定性地评估相关事项，找出可能造成单位经济利益流出的风险指标，为风险应对提供依据。</w:t>
      </w:r>
    </w:p>
    <w:p>
      <w:pPr>
        <w:numPr>
          <w:ilvl w:val="0"/>
          <w:numId w:val="71"/>
        </w:numPr>
        <w:kinsoku/>
        <w:wordWrap/>
        <w:topLinePunct w:val="0"/>
        <w:autoSpaceDE/>
        <w:autoSpaceDN/>
        <w:bidi w:val="0"/>
        <w:spacing w:line="560" w:lineRule="exact"/>
        <w:ind w:left="0" w:firstLine="604"/>
      </w:pPr>
      <w:r>
        <w:rPr>
          <w:rFonts w:hint="eastAsia"/>
        </w:rPr>
        <w:t>支持定期维护单位风险指标；</w:t>
      </w:r>
    </w:p>
    <w:p>
      <w:pPr>
        <w:numPr>
          <w:ilvl w:val="0"/>
          <w:numId w:val="71"/>
        </w:numPr>
        <w:kinsoku/>
        <w:wordWrap/>
        <w:topLinePunct w:val="0"/>
        <w:autoSpaceDE/>
        <w:autoSpaceDN/>
        <w:bidi w:val="0"/>
        <w:spacing w:line="560" w:lineRule="exact"/>
        <w:ind w:left="0" w:firstLine="604"/>
      </w:pPr>
      <w:r>
        <w:rPr>
          <w:rFonts w:hint="eastAsia"/>
        </w:rPr>
        <w:t>支持维护单位层面风险指标、预算管理风险指标、收支管理风险指标、项目管理风险指标、合同管理风险指标、采购管理风险指标和资产管理风险指标；</w:t>
      </w:r>
    </w:p>
    <w:p>
      <w:pPr>
        <w:numPr>
          <w:ilvl w:val="0"/>
          <w:numId w:val="71"/>
        </w:numPr>
        <w:kinsoku/>
        <w:wordWrap/>
        <w:topLinePunct w:val="0"/>
        <w:autoSpaceDE/>
        <w:autoSpaceDN/>
        <w:bidi w:val="0"/>
        <w:spacing w:line="560" w:lineRule="exact"/>
        <w:ind w:left="0" w:firstLine="604"/>
      </w:pPr>
      <w:r>
        <w:rPr>
          <w:rFonts w:hint="eastAsia"/>
        </w:rPr>
        <w:t>支持流程风险指标和动态风险指标；</w:t>
      </w:r>
    </w:p>
    <w:p>
      <w:pPr>
        <w:numPr>
          <w:ilvl w:val="0"/>
          <w:numId w:val="71"/>
        </w:numPr>
        <w:kinsoku/>
        <w:wordWrap/>
        <w:topLinePunct w:val="0"/>
        <w:autoSpaceDE/>
        <w:autoSpaceDN/>
        <w:bidi w:val="0"/>
        <w:spacing w:line="560" w:lineRule="exact"/>
        <w:ind w:left="0" w:firstLine="604"/>
      </w:pPr>
      <w:r>
        <w:rPr>
          <w:rFonts w:hint="eastAsia"/>
        </w:rPr>
        <w:t>支持模板导入单位风险库；</w:t>
      </w:r>
    </w:p>
    <w:p>
      <w:pPr>
        <w:numPr>
          <w:ilvl w:val="0"/>
          <w:numId w:val="71"/>
        </w:numPr>
        <w:kinsoku/>
        <w:wordWrap/>
        <w:topLinePunct w:val="0"/>
        <w:autoSpaceDE/>
        <w:autoSpaceDN/>
        <w:bidi w:val="0"/>
        <w:spacing w:line="560" w:lineRule="exact"/>
        <w:ind w:left="0" w:firstLine="604"/>
      </w:pPr>
      <w:r>
        <w:rPr>
          <w:rFonts w:hint="eastAsia"/>
        </w:rPr>
        <w:t>支持根据风险发生可能性和风险的影响程度系统自动计算风险指标的风险级别；</w:t>
      </w:r>
    </w:p>
    <w:p>
      <w:pPr>
        <w:numPr>
          <w:ilvl w:val="0"/>
          <w:numId w:val="71"/>
        </w:numPr>
        <w:kinsoku/>
        <w:wordWrap/>
        <w:topLinePunct w:val="0"/>
        <w:autoSpaceDE/>
        <w:autoSpaceDN/>
        <w:bidi w:val="0"/>
        <w:spacing w:line="560" w:lineRule="exact"/>
        <w:ind w:left="0" w:firstLine="604"/>
      </w:pPr>
      <w:r>
        <w:rPr>
          <w:rFonts w:hint="eastAsia"/>
        </w:rPr>
        <w:t>支持单位风险库指标统计；</w:t>
      </w:r>
    </w:p>
    <w:p>
      <w:pPr>
        <w:numPr>
          <w:ilvl w:val="0"/>
          <w:numId w:val="71"/>
        </w:numPr>
        <w:kinsoku/>
        <w:wordWrap/>
        <w:topLinePunct w:val="0"/>
        <w:autoSpaceDE/>
        <w:autoSpaceDN/>
        <w:bidi w:val="0"/>
        <w:spacing w:line="560" w:lineRule="exact"/>
        <w:ind w:left="0" w:firstLine="604"/>
      </w:pPr>
      <w:r>
        <w:rPr>
          <w:rFonts w:hint="eastAsia"/>
        </w:rPr>
        <w:t>支持流程风险指标库和动态风险指标库维护。</w:t>
      </w:r>
    </w:p>
    <w:p>
      <w:pPr>
        <w:kinsoku/>
        <w:wordWrap/>
        <w:topLinePunct w:val="0"/>
        <w:autoSpaceDE/>
        <w:autoSpaceDN/>
        <w:bidi w:val="0"/>
        <w:spacing w:line="560" w:lineRule="exact"/>
        <w:ind w:firstLine="604"/>
      </w:pPr>
      <w:r>
        <w:rPr>
          <w:rFonts w:hint="eastAsia"/>
        </w:rPr>
        <w:t>2.风险措施库</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针对风险识和评估出的风险指标制定风险应对策略、选择应对措施。具体情况具体分析，制定具体而使用的风险应对措施，形成风险措施库。</w:t>
      </w:r>
    </w:p>
    <w:p>
      <w:pPr>
        <w:numPr>
          <w:ilvl w:val="0"/>
          <w:numId w:val="72"/>
        </w:numPr>
        <w:kinsoku/>
        <w:wordWrap/>
        <w:topLinePunct w:val="0"/>
        <w:autoSpaceDE/>
        <w:autoSpaceDN/>
        <w:bidi w:val="0"/>
        <w:spacing w:line="560" w:lineRule="exact"/>
        <w:ind w:left="0" w:firstLine="604"/>
      </w:pPr>
      <w:r>
        <w:rPr>
          <w:rFonts w:hint="eastAsia"/>
        </w:rPr>
        <w:t>支持定期维护单位风险措施；</w:t>
      </w:r>
    </w:p>
    <w:p>
      <w:pPr>
        <w:numPr>
          <w:ilvl w:val="0"/>
          <w:numId w:val="72"/>
        </w:numPr>
        <w:kinsoku/>
        <w:wordWrap/>
        <w:topLinePunct w:val="0"/>
        <w:autoSpaceDE/>
        <w:autoSpaceDN/>
        <w:bidi w:val="0"/>
        <w:spacing w:line="560" w:lineRule="exact"/>
        <w:ind w:left="0" w:firstLine="604"/>
      </w:pPr>
      <w:r>
        <w:rPr>
          <w:rFonts w:hint="eastAsia"/>
        </w:rPr>
        <w:t>支持维护单位层面风险指标措施、预算管理风险指标措施、收支管理风险指标措施、项目管理风险指标措施、合同管理风险指标措施、采购管理风险指标措施和资产管理风险指标措施；</w:t>
      </w:r>
    </w:p>
    <w:p>
      <w:pPr>
        <w:numPr>
          <w:ilvl w:val="0"/>
          <w:numId w:val="72"/>
        </w:numPr>
        <w:kinsoku/>
        <w:wordWrap/>
        <w:topLinePunct w:val="0"/>
        <w:autoSpaceDE/>
        <w:autoSpaceDN/>
        <w:bidi w:val="0"/>
        <w:spacing w:line="560" w:lineRule="exact"/>
        <w:ind w:left="0" w:firstLine="604"/>
      </w:pPr>
      <w:r>
        <w:rPr>
          <w:rFonts w:hint="eastAsia"/>
        </w:rPr>
        <w:t>支持流程风险指标措施和动态风险指标措施；</w:t>
      </w:r>
    </w:p>
    <w:p>
      <w:pPr>
        <w:numPr>
          <w:ilvl w:val="0"/>
          <w:numId w:val="72"/>
        </w:numPr>
        <w:kinsoku/>
        <w:wordWrap/>
        <w:topLinePunct w:val="0"/>
        <w:autoSpaceDE/>
        <w:autoSpaceDN/>
        <w:bidi w:val="0"/>
        <w:spacing w:line="560" w:lineRule="exact"/>
        <w:ind w:left="0" w:firstLine="604"/>
      </w:pPr>
      <w:r>
        <w:rPr>
          <w:rFonts w:hint="eastAsia"/>
        </w:rPr>
        <w:t>支持模板导入单位措施库；</w:t>
      </w:r>
    </w:p>
    <w:p>
      <w:pPr>
        <w:numPr>
          <w:ilvl w:val="0"/>
          <w:numId w:val="72"/>
        </w:numPr>
        <w:kinsoku/>
        <w:wordWrap/>
        <w:topLinePunct w:val="0"/>
        <w:autoSpaceDE/>
        <w:autoSpaceDN/>
        <w:bidi w:val="0"/>
        <w:spacing w:line="560" w:lineRule="exact"/>
        <w:ind w:left="0" w:firstLine="604"/>
      </w:pPr>
      <w:r>
        <w:rPr>
          <w:rFonts w:hint="eastAsia"/>
        </w:rPr>
        <w:t>支持流程风险措施库和动态风险措施库维护。</w:t>
      </w:r>
    </w:p>
    <w:p>
      <w:pPr>
        <w:pStyle w:val="6"/>
        <w:kinsoku/>
        <w:wordWrap/>
        <w:topLinePunct w:val="0"/>
        <w:autoSpaceDE/>
        <w:autoSpaceDN/>
        <w:bidi w:val="0"/>
        <w:spacing w:before="198" w:after="198" w:line="560" w:lineRule="exact"/>
      </w:pPr>
      <w:bookmarkStart w:id="199" w:name="_Toc5065"/>
      <w:bookmarkStart w:id="200" w:name="_Toc13509"/>
      <w:bookmarkStart w:id="201" w:name="_Toc4057"/>
      <w:r>
        <w:rPr>
          <w:rFonts w:hint="eastAsia"/>
        </w:rPr>
        <w:t>数智化审计管理</w:t>
      </w:r>
      <w:bookmarkEnd w:id="199"/>
      <w:bookmarkEnd w:id="200"/>
      <w:bookmarkEnd w:id="201"/>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实现审计业务的规范化、科学化、系统化，通过制定审计计划、对审计过程的掌握以及相关问题的记录整改，促进审计工作的有效开展，有效防范集团的经营风险。支持通过系统记录审计工作和底稿，同时对审计结果的整改意见进行跟踪和留痕。</w:t>
      </w:r>
    </w:p>
    <w:p>
      <w:pPr>
        <w:pStyle w:val="7"/>
        <w:kinsoku/>
        <w:wordWrap/>
        <w:topLinePunct w:val="0"/>
        <w:autoSpaceDE/>
        <w:autoSpaceDN/>
        <w:bidi w:val="0"/>
        <w:spacing w:before="198" w:after="198" w:line="560" w:lineRule="exact"/>
        <w:rPr>
          <w:rFonts w:hint="default"/>
        </w:rPr>
      </w:pPr>
      <w:r>
        <w:t>审计计划</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根据企业的审计年度计划涉及的类型、责任单位、周期、完成标准等进行适配，每年定期指定人员进行发送年度计划至下属单位或指定岗位进行填写申报，自动生成企业年度审计计划台账；每月根据实际情况变化可授权指定人员进行新增录入或计划修改，更新年度审计计划；按照年度计划的开始时间自动触发审计项目立项申请或者自动发送提醒至指定岗位或人员，结束时间前也可根据设置的提前提醒时间进行提醒，并设置超期预警。</w:t>
      </w:r>
    </w:p>
    <w:p>
      <w:pPr>
        <w:pStyle w:val="7"/>
        <w:kinsoku/>
        <w:wordWrap/>
        <w:topLinePunct w:val="0"/>
        <w:autoSpaceDE/>
        <w:autoSpaceDN/>
        <w:bidi w:val="0"/>
        <w:spacing w:before="198" w:after="198" w:line="560" w:lineRule="exact"/>
        <w:rPr>
          <w:rFonts w:hint="default"/>
        </w:rPr>
      </w:pPr>
      <w:bookmarkStart w:id="202" w:name="_Toc17839052"/>
      <w:r>
        <w:t>审计准备</w:t>
      </w:r>
    </w:p>
    <w:p>
      <w:pPr>
        <w:pStyle w:val="8"/>
        <w:kinsoku/>
        <w:wordWrap/>
        <w:topLinePunct w:val="0"/>
        <w:autoSpaceDE/>
        <w:autoSpaceDN/>
        <w:bidi w:val="0"/>
        <w:spacing w:before="198" w:after="198" w:line="560" w:lineRule="exact"/>
      </w:pPr>
      <w:r>
        <w:rPr>
          <w:rFonts w:hint="eastAsia"/>
        </w:rPr>
        <w:t>审计立项管理</w:t>
      </w:r>
      <w:bookmarkEnd w:id="202"/>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根据年度审计计划可由项目负责人发起不同审计项目类型的立项申请，按照唯一审计项目编号流转，以设置的流程条件进行适配后自动流转审批，选择确定审计范围，明确审计时间区间，并根据立项审批情况建立审计项目立项档案底表，审计项目的实施过程中所有相关信息会同步写入审计项目档案，支持审计项目台账查询统计。</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审计项目立项审批完成后，可通过审批选择明确审计小组成员，包括审计组长、副组长和小组成员，成员均可在授权范围内任意指定，满足审计人员和业务领域专业人员的组合要求，并进行任务分工安排。</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对于其他审计项目发生的变更可通过授权修改或者变更审批后更新项目档案。</w:t>
      </w:r>
    </w:p>
    <w:p>
      <w:pPr>
        <w:pStyle w:val="8"/>
        <w:kinsoku/>
        <w:wordWrap/>
        <w:topLinePunct w:val="0"/>
        <w:autoSpaceDE/>
        <w:autoSpaceDN/>
        <w:bidi w:val="0"/>
        <w:spacing w:before="198" w:after="198" w:line="560" w:lineRule="exact"/>
      </w:pPr>
      <w:bookmarkStart w:id="203" w:name="_Toc17839053"/>
      <w:r>
        <w:rPr>
          <w:rFonts w:hint="eastAsia"/>
        </w:rPr>
        <w:t>审计通知书</w:t>
      </w:r>
      <w:bookmarkEnd w:id="203"/>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按照企业审计通知书格式进行适配，符合集团工作习惯，同时可根据实际情况进行优化完善，更适合线上使用。审计通知书内容审批完成后，可根据审计通知书打印模板一键生成正式审计通知书，也可另行编制审计通知书，并按照规定的发布渠道进行送达，设置接收范围和接收人员，并要求送达回执反馈，自动完成通知任务。</w:t>
      </w:r>
    </w:p>
    <w:p>
      <w:pPr>
        <w:pStyle w:val="8"/>
        <w:kinsoku/>
        <w:wordWrap/>
        <w:topLinePunct w:val="0"/>
        <w:autoSpaceDE/>
        <w:autoSpaceDN/>
        <w:bidi w:val="0"/>
        <w:spacing w:before="198" w:after="198" w:line="560" w:lineRule="exact"/>
      </w:pPr>
      <w:bookmarkStart w:id="204" w:name="_Toc17839054"/>
      <w:r>
        <w:rPr>
          <w:rFonts w:hint="eastAsia"/>
        </w:rPr>
        <w:t>审计方案</w:t>
      </w:r>
      <w:bookmarkEnd w:id="204"/>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指定人员发起审计项目实施的详细方案，根据审前调查情况及本次的审计目标拟定，包括人员具体分工、分工节点、完成标准和详细进场会安排；方案审批完成后，可按照方案标准模板一键生成正式审计方案打印，或者另行排版打印后发送指定范围岗位和人员，同步回写到审计项目档案中。</w:t>
      </w:r>
    </w:p>
    <w:p>
      <w:pPr>
        <w:pStyle w:val="8"/>
        <w:kinsoku/>
        <w:wordWrap/>
        <w:topLinePunct w:val="0"/>
        <w:autoSpaceDE/>
        <w:autoSpaceDN/>
        <w:bidi w:val="0"/>
        <w:spacing w:before="198" w:after="198" w:line="560" w:lineRule="exact"/>
      </w:pPr>
      <w:bookmarkStart w:id="205" w:name="_Toc17839063"/>
      <w:bookmarkStart w:id="206" w:name="_Toc17839055"/>
      <w:r>
        <w:rPr>
          <w:rFonts w:hint="eastAsia"/>
        </w:rPr>
        <w:t>审计项目档案</w:t>
      </w:r>
      <w:bookmarkEnd w:id="205"/>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审计项目档案支持按照企业日常分类进行适配，主要包括立项类、证明类、结论类和备查类材料；支持按年度、审计类型、审计阶段分别存档；支持手工补录审计档案文件；支持系统流程审批单据自动归档；支持审计档案的查询、订阅、分享等各类权限定义；支持审计档案全文搜索。</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对于未授权岗位可通过审计档案借阅审批后执行，并支持指定岗位移交线下档案后上传移交清单，确保审计档案的严谨管理。</w:t>
      </w:r>
    </w:p>
    <w:p>
      <w:pPr>
        <w:pStyle w:val="7"/>
        <w:kinsoku/>
        <w:wordWrap/>
        <w:topLinePunct w:val="0"/>
        <w:autoSpaceDE/>
        <w:autoSpaceDN/>
        <w:bidi w:val="0"/>
        <w:spacing w:before="198" w:after="198" w:line="560" w:lineRule="exact"/>
        <w:rPr>
          <w:rFonts w:hint="default"/>
        </w:rPr>
      </w:pPr>
      <w:r>
        <w:t>审计实施</w:t>
      </w:r>
    </w:p>
    <w:p>
      <w:pPr>
        <w:pStyle w:val="8"/>
        <w:kinsoku/>
        <w:wordWrap/>
        <w:topLinePunct w:val="0"/>
        <w:autoSpaceDE/>
        <w:autoSpaceDN/>
        <w:bidi w:val="0"/>
        <w:spacing w:before="198" w:after="198" w:line="560" w:lineRule="exact"/>
      </w:pPr>
      <w:r>
        <w:rPr>
          <w:rFonts w:hint="eastAsia"/>
        </w:rPr>
        <w:t>审计底稿</w:t>
      </w:r>
      <w:bookmarkEnd w:id="206"/>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根据审计过程中的审计发现记录，系统可单独或批量生成正式工作底稿；支持审计底稿格式自定义，包括问题描述、制度引用、证据上传、问题分类、风险等级等；底稿复核过程中可包括对审计工作底稿的编辑、复核、检查及补充信息录入，并关联审计相关法律法规，利于复核调用；支持一键生成WORD审计工作底稿，或另行排版，以便于打印归档，同步回写至审计项目档案。</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系统可支持手工从外部上传、查询的分析结果（可以以图片或excel格式保存）作为审计证据；支持按项目、被审计对象搜索证据；支持单个或多个证据上传。</w:t>
      </w:r>
    </w:p>
    <w:p>
      <w:pPr>
        <w:pStyle w:val="8"/>
        <w:kinsoku/>
        <w:wordWrap/>
        <w:topLinePunct w:val="0"/>
        <w:autoSpaceDE/>
        <w:autoSpaceDN/>
        <w:bidi w:val="0"/>
        <w:spacing w:before="198" w:after="198" w:line="560" w:lineRule="exact"/>
      </w:pPr>
      <w:bookmarkStart w:id="207" w:name="_Toc17839056"/>
      <w:r>
        <w:rPr>
          <w:rFonts w:hint="eastAsia"/>
        </w:rPr>
        <w:t>审计二级复核</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审计项目实施过程中可支持多级复核，包括审计组长对组员的复核、组外人员对小组的复核，支持在线多次复核意见及修改意见；根据审计复核的内容确定是否生成审计工作底稿。</w:t>
      </w:r>
    </w:p>
    <w:p>
      <w:pPr>
        <w:pStyle w:val="7"/>
        <w:kinsoku/>
        <w:wordWrap/>
        <w:topLinePunct w:val="0"/>
        <w:autoSpaceDE/>
        <w:autoSpaceDN/>
        <w:bidi w:val="0"/>
        <w:spacing w:before="198" w:after="198" w:line="560" w:lineRule="exact"/>
        <w:rPr>
          <w:rFonts w:hint="default"/>
        </w:rPr>
      </w:pPr>
      <w:r>
        <w:t>审计报告</w:t>
      </w:r>
    </w:p>
    <w:p>
      <w:pPr>
        <w:pStyle w:val="8"/>
        <w:kinsoku/>
        <w:wordWrap/>
        <w:topLinePunct w:val="0"/>
        <w:autoSpaceDE/>
        <w:autoSpaceDN/>
        <w:bidi w:val="0"/>
        <w:spacing w:before="198" w:after="198" w:line="560" w:lineRule="exact"/>
      </w:pPr>
      <w:r>
        <w:rPr>
          <w:rFonts w:hint="eastAsia"/>
        </w:rPr>
        <w:t>审计报告</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审计小组人员根据审计计划对被审计单位实施必要的审计程序后，就被审计事项作出审计结论，提出审计报告或审计意见和审计建议的书面文件；支持与被审计对象在线征求交换意见；支持在线直接发起审计沟通会，进行会议安排沟通；通过在线意见交换后可修改报告，生成审计报告初稿，按照审批流程正式审批完成后生成审批报告定稿，可按照标准模板一键生成word定稿打印版，按照核定范围发布，支持审计报告的一键送达和在线签收，同步回写审计项目档案。</w:t>
      </w:r>
    </w:p>
    <w:p>
      <w:pPr>
        <w:pStyle w:val="8"/>
        <w:kinsoku/>
        <w:wordWrap/>
        <w:topLinePunct w:val="0"/>
        <w:autoSpaceDE/>
        <w:autoSpaceDN/>
        <w:bidi w:val="0"/>
        <w:spacing w:before="198" w:after="198" w:line="560" w:lineRule="exact"/>
      </w:pPr>
      <w:bookmarkStart w:id="208" w:name="_Toc17839061"/>
      <w:r>
        <w:rPr>
          <w:rFonts w:hint="eastAsia"/>
        </w:rPr>
        <w:t>处分和处罚</w:t>
      </w:r>
      <w:bookmarkEnd w:id="208"/>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系统可根据审计意见或建议，按照处分处罚模板出具审计违规处罚通知，审批后予以核定范围公告；支持一键自动生成审计处罚公告word文本，支持在线签收处分处罚通知，并按照时限要求回复落实情况。</w:t>
      </w:r>
    </w:p>
    <w:p>
      <w:pPr>
        <w:pStyle w:val="7"/>
        <w:kinsoku/>
        <w:wordWrap/>
        <w:topLinePunct w:val="0"/>
        <w:autoSpaceDE/>
        <w:autoSpaceDN/>
        <w:bidi w:val="0"/>
        <w:spacing w:before="198" w:after="198" w:line="560" w:lineRule="exact"/>
        <w:rPr>
          <w:rFonts w:hint="default"/>
        </w:rPr>
      </w:pPr>
      <w:r>
        <w:t>审计跟踪</w:t>
      </w:r>
    </w:p>
    <w:p>
      <w:pPr>
        <w:pStyle w:val="8"/>
        <w:kinsoku/>
        <w:wordWrap/>
        <w:topLinePunct w:val="0"/>
        <w:autoSpaceDE/>
        <w:autoSpaceDN/>
        <w:bidi w:val="0"/>
        <w:spacing w:before="198" w:after="198" w:line="560" w:lineRule="exact"/>
      </w:pPr>
      <w:bookmarkStart w:id="209" w:name="_Toc17839058"/>
      <w:r>
        <w:rPr>
          <w:rFonts w:hint="eastAsia"/>
        </w:rPr>
        <w:t>审计报告整改跟踪</w:t>
      </w:r>
      <w:bookmarkEnd w:id="209"/>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内部审计机构为跟踪检查被审计单位针对审计发现的问题所采取的纠正措施及其改进效果；支持自定义整改时间节点、整改责任人和部门、反馈情况、跟踪落实情况格式，并按照节点要求触发至责任人回复情况；支持根据工作底稿及补充信息内容，登记整改备忘台账，并指定专人跟进整改进度；支持指定被审计单位项目对接人，后期由其完成整改按照节点回复情况；支持一键穿透到审计项目台账。</w:t>
      </w:r>
    </w:p>
    <w:p>
      <w:pPr>
        <w:pStyle w:val="8"/>
        <w:kinsoku/>
        <w:wordWrap/>
        <w:topLinePunct w:val="0"/>
        <w:autoSpaceDE/>
        <w:autoSpaceDN/>
        <w:bidi w:val="0"/>
        <w:spacing w:before="198" w:after="198" w:line="560" w:lineRule="exact"/>
      </w:pPr>
      <w:bookmarkStart w:id="210" w:name="_Toc17839062"/>
      <w:bookmarkStart w:id="211" w:name="_Toc17839059"/>
      <w:r>
        <w:rPr>
          <w:rFonts w:hint="eastAsia"/>
        </w:rPr>
        <w:t>审计项目回顾</w:t>
      </w:r>
      <w:bookmarkEnd w:id="210"/>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审计项目结项后，根据项目情况可以进行在线发出小组总结回顾会通知，并通过会议纪要归纳审计问题，由指定人员录入或导入审计问题库；对于问题集中的，可以通过线下修订审计指引后，进行线上意见征询，通过后再晚上审计管理系统，同步完善审计手册，更新审计知识库和制度库内容。</w:t>
      </w:r>
    </w:p>
    <w:bookmarkEnd w:id="211"/>
    <w:p>
      <w:pPr>
        <w:pStyle w:val="7"/>
        <w:kinsoku/>
        <w:wordWrap/>
        <w:topLinePunct w:val="0"/>
        <w:autoSpaceDE/>
        <w:autoSpaceDN/>
        <w:bidi w:val="0"/>
        <w:spacing w:before="198" w:after="198" w:line="560" w:lineRule="exact"/>
        <w:rPr>
          <w:rFonts w:hint="default"/>
        </w:rPr>
      </w:pPr>
      <w:r>
        <w:t>审计决策</w:t>
      </w:r>
    </w:p>
    <w:p>
      <w:pPr>
        <w:pStyle w:val="8"/>
        <w:kinsoku/>
        <w:wordWrap/>
        <w:topLinePunct w:val="0"/>
        <w:autoSpaceDE/>
        <w:autoSpaceDN/>
        <w:bidi w:val="0"/>
        <w:spacing w:before="198" w:after="198" w:line="560" w:lineRule="exact"/>
      </w:pPr>
      <w:bookmarkStart w:id="212" w:name="_Toc17839060"/>
      <w:r>
        <w:rPr>
          <w:rFonts w:hint="eastAsia"/>
        </w:rPr>
        <w:t>未进报告的问题台账</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提供审计问题库，支持按不同问题类别查询：审计报告问题、非审计报告问题；对于审计过程中发现的较大的问题，由于涉及保密等原因，未进入正式审计报告的问题，按照权限列入问题库；支持根据不同类别自定义分类台账。</w:t>
      </w:r>
    </w:p>
    <w:p>
      <w:pPr>
        <w:pStyle w:val="8"/>
        <w:kinsoku/>
        <w:wordWrap/>
        <w:topLinePunct w:val="0"/>
        <w:autoSpaceDE/>
        <w:autoSpaceDN/>
        <w:bidi w:val="0"/>
        <w:spacing w:before="198" w:after="198" w:line="560" w:lineRule="exact"/>
      </w:pPr>
      <w:r>
        <w:rPr>
          <w:rFonts w:hint="eastAsia"/>
        </w:rPr>
        <w:t>风险提示函</w:t>
      </w:r>
      <w:bookmarkEnd w:id="212"/>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snapToGrid w:val="0"/>
        </w:rPr>
        <w:t>系统支持定义审计报告问题及未进报告问题的风险级别，支持针对其中高风险事项可自动触发风险提示函；支持根据不同条件实现审批后指定范围发出风险提示函。由接收部门根据风险提示函进行相应工作的调整、优化或变革，后续根据线下管理的完善再植入线上管理系统。</w:t>
      </w:r>
      <w:bookmarkEnd w:id="207"/>
    </w:p>
    <w:p>
      <w:pPr>
        <w:pStyle w:val="6"/>
        <w:kinsoku/>
        <w:wordWrap/>
        <w:topLinePunct w:val="0"/>
        <w:autoSpaceDE/>
        <w:autoSpaceDN/>
        <w:bidi w:val="0"/>
        <w:spacing w:before="198" w:after="198" w:line="560" w:lineRule="exact"/>
      </w:pPr>
      <w:bookmarkStart w:id="213" w:name="_Toc15753"/>
      <w:bookmarkStart w:id="214" w:name="_Toc539"/>
      <w:bookmarkStart w:id="215" w:name="_Toc13322"/>
      <w:bookmarkStart w:id="216" w:name="_Toc19744"/>
      <w:r>
        <w:rPr>
          <w:rFonts w:hint="eastAsia"/>
        </w:rPr>
        <w:t>数智化协同办公</w:t>
      </w:r>
      <w:bookmarkEnd w:id="213"/>
      <w:bookmarkEnd w:id="214"/>
      <w:bookmarkEnd w:id="215"/>
      <w:bookmarkEnd w:id="216"/>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实现集团及下属企业的协同办公管理，实现信息数据能共享、减少信息孤岛，提升管理、防范风险。实现公文管理、会议管理、办公用品管理、电子签章、车辆管理、台账、信息发布、文档中心、工作计划、主页管理、通讯录、自定义表单等功能。</w:t>
      </w:r>
    </w:p>
    <w:p>
      <w:pPr>
        <w:pStyle w:val="7"/>
        <w:kinsoku/>
        <w:wordWrap/>
        <w:topLinePunct w:val="0"/>
        <w:autoSpaceDE/>
        <w:autoSpaceDN/>
        <w:bidi w:val="0"/>
        <w:spacing w:before="198" w:after="198" w:line="560" w:lineRule="exact"/>
        <w:rPr>
          <w:rFonts w:hint="default"/>
        </w:rPr>
      </w:pPr>
      <w:r>
        <w:t>协同办公</w:t>
      </w:r>
    </w:p>
    <w:p>
      <w:pPr>
        <w:pStyle w:val="8"/>
        <w:kinsoku/>
        <w:wordWrap/>
        <w:topLinePunct w:val="0"/>
        <w:autoSpaceDE/>
        <w:autoSpaceDN/>
        <w:bidi w:val="0"/>
        <w:spacing w:before="198" w:after="198" w:line="560" w:lineRule="exact"/>
      </w:pPr>
      <w:r>
        <w:rPr>
          <w:rFonts w:hint="eastAsia"/>
        </w:rPr>
        <w:t>公文管理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提供完备的电子公文管理功能，包括：公文应用设置、发文管理、收文管理、签报管理、公文交换、公文督办、公文查询、公文统计等。</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公文管理遵循规范的收发文、交换和文档管理一体化等制度，单位之间实现并针对电子公文特点，提供相应的电子用印、加密控制、流程控制、权限控制和备份等应用，使得发文、收文和公文档案库管理环环相扣；系统控制、安全防范和电子印章紧密相连。在整个公文流转过程中，都提供公文督办的功能。</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snapToGrid w:val="0"/>
        </w:rPr>
        <w:t>在应用平台构建方面，覆盖办公厅公文以及与各委办局的交换为核心的各种类型公文联动，实现公文一体化运转。以及单位内以公文为核心，与会议、督办应用的互通，实现G2E、G2G应用。融合公文、表单、组织人员为一体，形成强大的应用平台搭建体系，可构建出多种类型的、多种模式的企业创新型应用。</w:t>
      </w:r>
    </w:p>
    <w:p>
      <w:pPr>
        <w:kinsoku/>
        <w:wordWrap/>
        <w:topLinePunct w:val="0"/>
        <w:autoSpaceDE/>
        <w:autoSpaceDN/>
        <w:bidi w:val="0"/>
        <w:spacing w:line="560" w:lineRule="exact"/>
        <w:ind w:firstLine="606"/>
        <w:rPr>
          <w:b/>
          <w:bCs/>
        </w:rPr>
      </w:pPr>
      <w:bookmarkStart w:id="217" w:name="_Toc83212677"/>
      <w:bookmarkStart w:id="218" w:name="_Toc67397227"/>
      <w:bookmarkStart w:id="219" w:name="_Toc33615167"/>
      <w:bookmarkStart w:id="220" w:name="_Toc81324057"/>
      <w:r>
        <w:rPr>
          <w:rFonts w:hint="eastAsia"/>
          <w:b/>
          <w:bCs/>
        </w:rPr>
        <w:t>1.公文应用设置</w:t>
      </w:r>
      <w:bookmarkEnd w:id="217"/>
      <w:bookmarkEnd w:id="218"/>
      <w:bookmarkEnd w:id="219"/>
      <w:bookmarkEnd w:id="220"/>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设置相应管理进行公文运行的基本设置，包括：模板管理、节点权限、节点动作、文号管理、发文单模板、收文单模板、签报单、套红模板、公文元素、外部单位、机构组、公文开关、公文统计、代录设置、领导批示编号等基础元素的设置。</w:t>
      </w:r>
    </w:p>
    <w:p>
      <w:pPr>
        <w:kinsoku/>
        <w:wordWrap/>
        <w:topLinePunct w:val="0"/>
        <w:autoSpaceDE/>
        <w:autoSpaceDN/>
        <w:bidi w:val="0"/>
        <w:spacing w:line="560" w:lineRule="exact"/>
        <w:ind w:firstLine="604"/>
      </w:pPr>
      <w:bookmarkStart w:id="221" w:name="_Toc81324058"/>
      <w:bookmarkStart w:id="222" w:name="_Toc33615168"/>
      <w:r>
        <w:rPr>
          <w:rFonts w:hint="eastAsia"/>
        </w:rPr>
        <w:t>（1）模板管理</w:t>
      </w:r>
      <w:bookmarkEnd w:id="221"/>
      <w:bookmarkEnd w:id="222"/>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主要对公文模板中的发文模板和收文模板、签报模板进行分类管理、授权、联合发文协办流程设置以及查看模板的详细信息。</w:t>
      </w:r>
    </w:p>
    <w:p>
      <w:pPr>
        <w:kinsoku/>
        <w:wordWrap/>
        <w:topLinePunct w:val="0"/>
        <w:autoSpaceDE/>
        <w:autoSpaceDN/>
        <w:bidi w:val="0"/>
        <w:spacing w:line="560" w:lineRule="exact"/>
        <w:ind w:firstLine="604"/>
      </w:pPr>
      <w:r>
        <w:rPr>
          <w:rFonts w:hint="eastAsia"/>
        </w:rPr>
        <w:t>（2）安全管理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内置多种用户节点权限：拟文封发、审批、审核、复合、签发、审核、会签、知会、分送、承办、登记、阅读等，可修改操作权限，用户可自定义节点权限，支持追加、加签、减签、转发、回退、修改正文、修改附件等操作。用户可轻松编辑和修改下一步流程指向。支持复制、下载、打印权限控制，防拷贝，实现公文传输的安全性。</w:t>
      </w:r>
    </w:p>
    <w:p>
      <w:pPr>
        <w:kinsoku/>
        <w:wordWrap/>
        <w:topLinePunct w:val="0"/>
        <w:autoSpaceDE/>
        <w:autoSpaceDN/>
        <w:bidi w:val="0"/>
        <w:spacing w:line="560" w:lineRule="exact"/>
        <w:ind w:firstLine="604"/>
      </w:pPr>
      <w:bookmarkStart w:id="223" w:name="_Toc33615170"/>
      <w:bookmarkStart w:id="224" w:name="_Toc81324060"/>
      <w:r>
        <w:rPr>
          <w:rFonts w:hint="eastAsia"/>
        </w:rPr>
        <w:t>（3）节点动作</w:t>
      </w:r>
      <w:bookmarkEnd w:id="223"/>
      <w:bookmarkEnd w:id="224"/>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提供多种节点动作，系统预置场景化动作名称，简洁易懂，便于工作人员操作。增加OCR识别和智能纠错。</w:t>
      </w:r>
    </w:p>
    <w:p>
      <w:pPr>
        <w:kinsoku/>
        <w:wordWrap/>
        <w:topLinePunct w:val="0"/>
        <w:autoSpaceDE/>
        <w:autoSpaceDN/>
        <w:bidi w:val="0"/>
        <w:spacing w:line="560" w:lineRule="exact"/>
        <w:ind w:firstLine="604"/>
      </w:pPr>
      <w:bookmarkStart w:id="225" w:name="_Toc81324061"/>
      <w:bookmarkStart w:id="226" w:name="_Toc33615171"/>
      <w:r>
        <w:rPr>
          <w:rFonts w:hint="eastAsia"/>
        </w:rPr>
        <w:t>（4）文号管理</w:t>
      </w:r>
      <w:bookmarkEnd w:id="225"/>
      <w:bookmarkEnd w:id="226"/>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系统提供公文文号、内部文号自动生成，可灵活处理公文处理过程中被使用过但尚未封发的文号，可以是终止的公文流程，也可以是流程未结束的公文号并提供断号管理；支持线下占用、预留文号。</w:t>
      </w:r>
    </w:p>
    <w:p>
      <w:pPr>
        <w:kinsoku/>
        <w:wordWrap/>
        <w:topLinePunct w:val="0"/>
        <w:autoSpaceDE/>
        <w:autoSpaceDN/>
        <w:bidi w:val="0"/>
        <w:spacing w:line="560" w:lineRule="exact"/>
        <w:ind w:firstLine="604"/>
      </w:pPr>
      <w:bookmarkStart w:id="227" w:name="_Toc33615176"/>
      <w:bookmarkStart w:id="228" w:name="_Toc81324066"/>
      <w:bookmarkStart w:id="229" w:name="_Toc81324063"/>
      <w:bookmarkStart w:id="230" w:name="_Toc33615173"/>
      <w:r>
        <w:rPr>
          <w:rFonts w:hint="eastAsia"/>
        </w:rPr>
        <w:t>（5）公文</w:t>
      </w:r>
      <w:bookmarkEnd w:id="227"/>
      <w:bookmarkEnd w:id="228"/>
      <w:r>
        <w:rPr>
          <w:rFonts w:hint="eastAsia"/>
        </w:rPr>
        <w:t>设置</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公文设置提供公文系统的基础设置，如发文、收文、签报单的元素、模板、节点操作权限等，从而保证了系统能够适应各类不同的公文处理流程。同时为了保证系统的易用性，系统对多数设置均提供了缺省值，设计好的Infopath格式的公文单通过导入功能载入系统中，对公文单信息及意见元素进行设置。</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在公文设置是对公文的基本功能开关的设置，比如转发文的相关权限设置、拟文和发起人的相关权限设置、意见填写位置、套红签发日期的显示设置、公文布局设置等。</w:t>
      </w:r>
    </w:p>
    <w:p>
      <w:pPr>
        <w:kinsoku/>
        <w:wordWrap/>
        <w:topLinePunct w:val="0"/>
        <w:autoSpaceDE/>
        <w:autoSpaceDN/>
        <w:bidi w:val="0"/>
        <w:spacing w:line="560" w:lineRule="exact"/>
        <w:ind w:firstLine="604"/>
      </w:pPr>
      <w:r>
        <w:rPr>
          <w:rFonts w:hint="eastAsia"/>
        </w:rPr>
        <w:t>（6）套红模板</w:t>
      </w:r>
      <w:bookmarkEnd w:id="229"/>
      <w:bookmarkEnd w:id="230"/>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管理员可以按照实际应用情况进行公文的正文红头和稿纸格式的自定义，支持在运行时自动套用正文和公文稿纸，形成可以留档，打印的文件。</w:t>
      </w:r>
    </w:p>
    <w:p>
      <w:pPr>
        <w:kinsoku/>
        <w:wordWrap/>
        <w:topLinePunct w:val="0"/>
        <w:autoSpaceDE/>
        <w:autoSpaceDN/>
        <w:bidi w:val="0"/>
        <w:spacing w:line="560" w:lineRule="exact"/>
        <w:ind w:firstLine="604"/>
      </w:pPr>
      <w:bookmarkStart w:id="231" w:name="_Toc81324064"/>
      <w:bookmarkStart w:id="232" w:name="_Toc33615174"/>
      <w:r>
        <w:rPr>
          <w:rFonts w:hint="eastAsia"/>
        </w:rPr>
        <w:t>（7）公文元素</w:t>
      </w:r>
      <w:bookmarkEnd w:id="231"/>
      <w:bookmarkEnd w:id="232"/>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公文元素可以对元素名称、元素代码、数据类型、元素类型进行设置，并支持EXCEL导出。</w:t>
      </w:r>
    </w:p>
    <w:p>
      <w:pPr>
        <w:kinsoku/>
        <w:wordWrap/>
        <w:topLinePunct w:val="0"/>
        <w:autoSpaceDE/>
        <w:autoSpaceDN/>
        <w:bidi w:val="0"/>
        <w:spacing w:line="560" w:lineRule="exact"/>
        <w:ind w:firstLine="604"/>
      </w:pPr>
      <w:bookmarkStart w:id="233" w:name="_Toc33615175"/>
      <w:bookmarkStart w:id="234" w:name="_Toc81324065"/>
      <w:r>
        <w:rPr>
          <w:rFonts w:hint="eastAsia"/>
        </w:rPr>
        <w:t>（8）外部单位和机构组设置</w:t>
      </w:r>
      <w:bookmarkEnd w:id="233"/>
      <w:bookmarkEnd w:id="234"/>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外部单位和机构组设置，主要是针对需要与外部单位和非固定机构组建立协同业务时，需要进行相应的外部单位和机构组设置。</w:t>
      </w:r>
    </w:p>
    <w:p>
      <w:pPr>
        <w:kinsoku/>
        <w:wordWrap/>
        <w:topLinePunct w:val="0"/>
        <w:autoSpaceDE/>
        <w:autoSpaceDN/>
        <w:bidi w:val="0"/>
        <w:spacing w:line="560" w:lineRule="exact"/>
        <w:ind w:firstLine="604"/>
      </w:pPr>
      <w:bookmarkStart w:id="235" w:name="_Toc33615177"/>
      <w:bookmarkStart w:id="236" w:name="_Toc81324067"/>
      <w:r>
        <w:rPr>
          <w:rFonts w:hint="eastAsia"/>
        </w:rPr>
        <w:t>（9）公文统计</w:t>
      </w:r>
      <w:bookmarkEnd w:id="235"/>
      <w:bookmarkEnd w:id="236"/>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提供公文相关统计，可对统计范围、统计条件等进行设置。</w:t>
      </w:r>
    </w:p>
    <w:p>
      <w:pPr>
        <w:kinsoku/>
        <w:wordWrap/>
        <w:topLinePunct w:val="0"/>
        <w:autoSpaceDE/>
        <w:autoSpaceDN/>
        <w:bidi w:val="0"/>
        <w:spacing w:line="560" w:lineRule="exact"/>
        <w:ind w:firstLine="604"/>
      </w:pPr>
      <w:bookmarkStart w:id="237" w:name="_Toc33615178"/>
      <w:bookmarkStart w:id="238" w:name="_Toc81324068"/>
      <w:r>
        <w:rPr>
          <w:rFonts w:hint="eastAsia"/>
        </w:rPr>
        <w:t>（10）代录设置</w:t>
      </w:r>
      <w:bookmarkEnd w:id="237"/>
      <w:bookmarkEnd w:id="238"/>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系统新增“代领导批示”角色和资源，授权人员后需进行代录领导设置，即可代领导录入批示意见；在代领导批示列表查看代录的待办和已办。</w:t>
      </w:r>
    </w:p>
    <w:p>
      <w:pPr>
        <w:kinsoku/>
        <w:wordWrap/>
        <w:topLinePunct w:val="0"/>
        <w:autoSpaceDE/>
        <w:autoSpaceDN/>
        <w:bidi w:val="0"/>
        <w:spacing w:line="560" w:lineRule="exact"/>
        <w:ind w:firstLine="604"/>
      </w:pPr>
      <w:bookmarkStart w:id="239" w:name="_Toc81324069"/>
      <w:bookmarkStart w:id="240" w:name="_Toc33615179"/>
      <w:r>
        <w:rPr>
          <w:rFonts w:hint="eastAsia"/>
        </w:rPr>
        <w:t>（11）领导批示编号</w:t>
      </w:r>
      <w:bookmarkEnd w:id="239"/>
      <w:bookmarkEnd w:id="240"/>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领导处理待办公文时，处理意见按“领导简称”+“年号”+”流水号”进行顺序编号。</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为了记录领导批示数量，并对领导批示进行督办，由文书处对在纸质公文中领导的批示加盖印章并编号。系统中领导处理时，系统自动编号；文书处可直接查询。</w:t>
      </w:r>
    </w:p>
    <w:p>
      <w:pPr>
        <w:kinsoku/>
        <w:wordWrap/>
        <w:topLinePunct w:val="0"/>
        <w:autoSpaceDE/>
        <w:autoSpaceDN/>
        <w:bidi w:val="0"/>
        <w:spacing w:line="560" w:lineRule="exact"/>
        <w:ind w:firstLine="604"/>
      </w:pPr>
      <w:bookmarkStart w:id="241" w:name="_Toc83212678"/>
      <w:bookmarkStart w:id="242" w:name="_Toc67397230"/>
      <w:bookmarkStart w:id="243" w:name="_Toc33615180"/>
      <w:bookmarkStart w:id="244" w:name="_Toc81324070"/>
      <w:r>
        <w:rPr>
          <w:rFonts w:hint="eastAsia"/>
        </w:rPr>
        <w:t>（12）公文一屏式交互展现</w:t>
      </w:r>
      <w:bookmarkEnd w:id="241"/>
      <w:bookmarkEnd w:id="242"/>
      <w:bookmarkEnd w:id="243"/>
      <w:bookmarkEnd w:id="244"/>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公文正文、文单、相关信息分类一屏式交互展现，更加简洁、清晰、方便。即支持组织统一设定交互界面，同时支持个人根据喜好单独设置交互界面。</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拟文界面和公文处理界面都适用一屏布局，包括：发文、签报、收文、快速发文；处理界面打印沿用经典布局的打印。</w:t>
      </w:r>
    </w:p>
    <w:p>
      <w:pPr>
        <w:kinsoku/>
        <w:wordWrap/>
        <w:topLinePunct w:val="0"/>
        <w:autoSpaceDE/>
        <w:autoSpaceDN/>
        <w:bidi w:val="0"/>
        <w:spacing w:line="560" w:lineRule="exact"/>
        <w:ind w:firstLine="606"/>
        <w:rPr>
          <w:b/>
          <w:bCs/>
        </w:rPr>
      </w:pPr>
      <w:bookmarkStart w:id="245" w:name="_Toc83212679"/>
      <w:bookmarkStart w:id="246" w:name="_Toc81324071"/>
      <w:r>
        <w:rPr>
          <w:rFonts w:hint="eastAsia"/>
          <w:b/>
          <w:bCs/>
        </w:rPr>
        <w:t>2.发文管理</w:t>
      </w:r>
      <w:bookmarkEnd w:id="245"/>
      <w:bookmarkEnd w:id="246"/>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发文管理是建立公文和对应的发文流程，实现党政机关和下属机构的公文审核、审批、签发、复核、封发等操作，完成公文审批、修改、清稿、套红等一系列动作，并形成可交换的正式电子公文的过程。公文的形成、网上流转的流程可自定义，并可自动生成规范格式的公文。</w:t>
      </w:r>
    </w:p>
    <w:p>
      <w:pPr>
        <w:kinsoku/>
        <w:wordWrap/>
        <w:topLinePunct w:val="0"/>
        <w:autoSpaceDE/>
        <w:autoSpaceDN/>
        <w:bidi w:val="0"/>
        <w:spacing w:line="560" w:lineRule="exact"/>
        <w:ind w:firstLine="604"/>
        <w:rPr>
          <w:rFonts w:ascii="Times New Roman" w:hAnsi="Times New Roman"/>
          <w:snapToGrid w:val="0"/>
        </w:rPr>
      </w:pPr>
      <w:r>
        <w:rPr>
          <w:rFonts w:hint="eastAsia" w:ascii="Times New Roman" w:hAnsi="Times New Roman"/>
          <w:snapToGrid w:val="0"/>
        </w:rPr>
        <w:t>公文正文支持包括标准正文、Word正文、Excel正文、WPS文字、WPS表格、PDF正文和OFD正文，其中Word正文和Excel正文需要客户端安装Office软件，WPS文字和WPS表格需要客户端安装WPS软件。OFD正文需要客户端安装OFD软件。</w:t>
      </w:r>
    </w:p>
    <w:p>
      <w:pPr>
        <w:kinsoku/>
        <w:wordWrap/>
        <w:topLinePunct w:val="0"/>
        <w:autoSpaceDE/>
        <w:autoSpaceDN/>
        <w:bidi w:val="0"/>
        <w:spacing w:line="560" w:lineRule="exact"/>
        <w:ind w:firstLine="604"/>
        <w:rPr>
          <w:rFonts w:ascii="Times New Roman" w:hAnsi="Times New Roman"/>
          <w:snapToGrid w:val="0"/>
        </w:rPr>
      </w:pPr>
      <w:r>
        <w:rPr>
          <w:rFonts w:hint="eastAsia" w:ascii="Times New Roman" w:hAnsi="Times New Roman"/>
          <w:snapToGrid w:val="0"/>
        </w:rPr>
        <w:t>提供B/S方式的附件上传功能，支持同时上传多个附件。要求发起者可</w:t>
      </w:r>
      <w:r>
        <w:rPr>
          <w:rFonts w:hint="eastAsia" w:ascii="Times New Roman" w:hAnsi="Times New Roman"/>
          <w:snapToGrid w:val="0"/>
          <w:lang w:eastAsia="zh-CN"/>
        </w:rPr>
        <w:t>添加</w:t>
      </w:r>
      <w:r>
        <w:rPr>
          <w:rFonts w:hint="eastAsia" w:ascii="Times New Roman" w:hAnsi="Times New Roman"/>
          <w:snapToGrid w:val="0"/>
        </w:rPr>
        <w:t>附言。</w:t>
      </w:r>
    </w:p>
    <w:p>
      <w:pPr>
        <w:kinsoku/>
        <w:wordWrap/>
        <w:topLinePunct w:val="0"/>
        <w:autoSpaceDE/>
        <w:autoSpaceDN/>
        <w:bidi w:val="0"/>
        <w:spacing w:line="560" w:lineRule="exact"/>
        <w:ind w:firstLine="604"/>
        <w:rPr>
          <w:rFonts w:ascii="Times New Roman" w:hAnsi="Times New Roman"/>
          <w:snapToGrid w:val="0"/>
        </w:rPr>
      </w:pPr>
      <w:r>
        <w:rPr>
          <w:rFonts w:hint="eastAsia" w:ascii="Times New Roman" w:hAnsi="Times New Roman"/>
          <w:snapToGrid w:val="0"/>
        </w:rPr>
        <w:t>支持自动化公文套红并允许打印输出，支持对公文套红、用印、封发等的权限管理。</w:t>
      </w:r>
    </w:p>
    <w:p>
      <w:pPr>
        <w:kinsoku/>
        <w:wordWrap/>
        <w:topLinePunct w:val="0"/>
        <w:autoSpaceDE/>
        <w:autoSpaceDN/>
        <w:bidi w:val="0"/>
        <w:spacing w:line="560" w:lineRule="exact"/>
        <w:ind w:firstLine="604"/>
        <w:rPr>
          <w:rFonts w:ascii="Times New Roman" w:hAnsi="Times New Roman"/>
          <w:snapToGrid w:val="0"/>
        </w:rPr>
      </w:pPr>
      <w:r>
        <w:rPr>
          <w:rFonts w:hint="eastAsia" w:ascii="Times New Roman" w:hAnsi="Times New Roman"/>
          <w:snapToGrid w:val="0"/>
        </w:rPr>
        <w:t>支持行文过程中的手写批注、显示\隐藏痕迹、文档清稿、电子印章等功能。</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流程监控：对公文流转的流程进行管理，设置流程期限、提醒；实现催办、督办功能。</w:t>
      </w:r>
    </w:p>
    <w:p>
      <w:pPr>
        <w:kinsoku/>
        <w:wordWrap/>
        <w:topLinePunct w:val="0"/>
        <w:autoSpaceDE/>
        <w:autoSpaceDN/>
        <w:bidi w:val="0"/>
        <w:spacing w:line="560" w:lineRule="exact"/>
        <w:ind w:firstLine="604"/>
        <w:rPr>
          <w:rFonts w:ascii="Times New Roman" w:hAnsi="Times New Roman"/>
          <w:snapToGrid w:val="0"/>
        </w:rPr>
      </w:pPr>
      <w:r>
        <w:rPr>
          <w:rFonts w:hint="eastAsia" w:ascii="Times New Roman" w:hAnsi="Times New Roman"/>
          <w:snapToGrid w:val="0"/>
        </w:rPr>
        <w:t>支持快速发文可以快速进行正文套红以及归档、选择对应的发送单位后进入到交换环节。</w:t>
      </w:r>
    </w:p>
    <w:p>
      <w:pPr>
        <w:kinsoku/>
        <w:wordWrap/>
        <w:topLinePunct w:val="0"/>
        <w:autoSpaceDE/>
        <w:autoSpaceDN/>
        <w:bidi w:val="0"/>
        <w:spacing w:line="560" w:lineRule="exact"/>
        <w:ind w:left="604" w:leftChars="200" w:firstLine="0" w:firstLineChars="0"/>
        <w:rPr>
          <w:rFonts w:ascii="方正仿宋_GBK" w:hAnsi="方正仿宋_GBK"/>
          <w:snapToGrid w:val="0"/>
        </w:rPr>
      </w:pPr>
      <w:r>
        <w:rPr>
          <w:rFonts w:hint="eastAsia" w:ascii="方正仿宋_GBK" w:hAnsi="方正仿宋_GBK"/>
          <w:snapToGrid w:val="0"/>
        </w:rPr>
        <w:t>支持不同单位、部门可以实现联合发文，共用同一个正文。</w:t>
      </w:r>
    </w:p>
    <w:p>
      <w:pPr>
        <w:kinsoku/>
        <w:wordWrap/>
        <w:topLinePunct w:val="0"/>
        <w:autoSpaceDE/>
        <w:autoSpaceDN/>
        <w:bidi w:val="0"/>
        <w:spacing w:line="560" w:lineRule="exact"/>
        <w:ind w:left="604" w:leftChars="200" w:firstLine="0" w:firstLineChars="0"/>
        <w:rPr>
          <w:rFonts w:ascii="方正仿宋_GBK" w:hAnsi="方正仿宋_GBK"/>
          <w:snapToGrid w:val="0"/>
        </w:rPr>
      </w:pPr>
      <w:r>
        <w:rPr>
          <w:rFonts w:hint="eastAsia" w:ascii="方正仿宋_GBK" w:hAnsi="方正仿宋_GBK"/>
          <w:snapToGrid w:val="0"/>
        </w:rPr>
        <w:t>支持发文转发文。</w:t>
      </w:r>
    </w:p>
    <w:p>
      <w:pPr>
        <w:kinsoku/>
        <w:wordWrap/>
        <w:topLinePunct w:val="0"/>
        <w:autoSpaceDE/>
        <w:autoSpaceDN/>
        <w:bidi w:val="0"/>
        <w:spacing w:line="560" w:lineRule="exact"/>
        <w:ind w:firstLine="604"/>
        <w:rPr>
          <w:rFonts w:ascii="Times New Roman" w:hAnsi="Times New Roman"/>
          <w:snapToGrid w:val="0"/>
        </w:rPr>
      </w:pPr>
      <w:r>
        <w:rPr>
          <w:rFonts w:hint="eastAsia" w:ascii="Times New Roman" w:hAnsi="Times New Roman"/>
          <w:snapToGrid w:val="0"/>
        </w:rPr>
        <w:t>支持对起草的公文正文进行核查，通过修改正文进行文件的修改完善，修改正文包括正文编辑、文字批注、文档清稿、显示痕迹、隐藏痕迹等操作。</w:t>
      </w:r>
    </w:p>
    <w:p>
      <w:pPr>
        <w:kinsoku/>
        <w:wordWrap/>
        <w:topLinePunct w:val="0"/>
        <w:autoSpaceDE/>
        <w:autoSpaceDN/>
        <w:bidi w:val="0"/>
        <w:spacing w:line="560" w:lineRule="exact"/>
        <w:ind w:firstLine="604"/>
        <w:rPr>
          <w:rFonts w:ascii="Times New Roman" w:hAnsi="Times New Roman"/>
          <w:snapToGrid w:val="0"/>
        </w:rPr>
      </w:pPr>
      <w:r>
        <w:rPr>
          <w:rFonts w:hint="eastAsia" w:ascii="Times New Roman" w:hAnsi="Times New Roman"/>
          <w:snapToGrid w:val="0"/>
        </w:rPr>
        <w:t>公文归档支持预归档、公文处理后归档、列表归档、允许用户选择归档路径、归档的公文可借阅、公文档案夹可实现共享等。</w:t>
      </w:r>
    </w:p>
    <w:p>
      <w:pPr>
        <w:kinsoku/>
        <w:wordWrap/>
        <w:topLinePunct w:val="0"/>
        <w:autoSpaceDE/>
        <w:autoSpaceDN/>
        <w:bidi w:val="0"/>
        <w:spacing w:line="560" w:lineRule="exact"/>
        <w:ind w:firstLine="604"/>
      </w:pPr>
      <w:bookmarkStart w:id="247" w:name="_Toc81324072"/>
      <w:r>
        <w:rPr>
          <w:rFonts w:hint="eastAsia"/>
        </w:rPr>
        <w:t>（1）发文拟文</w:t>
      </w:r>
      <w:bookmarkEnd w:id="247"/>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新建公文的发文流程、起草公文内容、以及填写公文文头信息。提供多种权限范围内的模板调用，模板的组成包括公文单的不同样式和相匹配的成文流程。支持最近使用的模板、发文模板和个人自定义的模板。</w:t>
      </w:r>
    </w:p>
    <w:p>
      <w:pPr>
        <w:numPr>
          <w:ilvl w:val="0"/>
          <w:numId w:val="73"/>
        </w:numPr>
        <w:kinsoku/>
        <w:wordWrap/>
        <w:topLinePunct w:val="0"/>
        <w:autoSpaceDE/>
        <w:autoSpaceDN/>
        <w:bidi w:val="0"/>
        <w:spacing w:line="560" w:lineRule="exact"/>
        <w:ind w:left="0" w:firstLine="604"/>
        <w:rPr>
          <w:rFonts w:ascii="Times New Roman" w:hAnsi="Times New Roman"/>
          <w:snapToGrid w:val="0"/>
        </w:rPr>
      </w:pPr>
      <w:r>
        <w:rPr>
          <w:rFonts w:hint="eastAsia" w:ascii="Times New Roman" w:hAnsi="Times New Roman"/>
          <w:snapToGrid w:val="0"/>
        </w:rPr>
        <w:t>正文类型支持格式，包括标准正文、Word正文、Excel正文、WPS文字、WPS表格、PDF正文和OFD正文，其中Word正文和Excel正文需要客户端安装Office软件，WPS文字和WPS表格需要客户端安装WPS软件，OFD正文需要客户端安装OFD软件。</w:t>
      </w:r>
    </w:p>
    <w:p>
      <w:pPr>
        <w:numPr>
          <w:ilvl w:val="0"/>
          <w:numId w:val="73"/>
        </w:numPr>
        <w:kinsoku/>
        <w:wordWrap/>
        <w:topLinePunct w:val="0"/>
        <w:autoSpaceDE/>
        <w:autoSpaceDN/>
        <w:bidi w:val="0"/>
        <w:spacing w:line="560" w:lineRule="exact"/>
        <w:ind w:left="0" w:firstLine="604"/>
        <w:rPr>
          <w:rFonts w:ascii="Times New Roman" w:hAnsi="Times New Roman"/>
          <w:snapToGrid w:val="0"/>
        </w:rPr>
      </w:pPr>
      <w:r>
        <w:rPr>
          <w:rFonts w:hint="eastAsia" w:ascii="Times New Roman" w:hAnsi="Times New Roman"/>
          <w:snapToGrid w:val="0"/>
        </w:rPr>
        <w:t>支持公文预归档：将该公文归档到有写入权限的文档，发送之后该公文可归档到指定目录。</w:t>
      </w:r>
    </w:p>
    <w:p>
      <w:pPr>
        <w:numPr>
          <w:ilvl w:val="0"/>
          <w:numId w:val="73"/>
        </w:numPr>
        <w:kinsoku/>
        <w:wordWrap/>
        <w:topLinePunct w:val="0"/>
        <w:autoSpaceDE/>
        <w:autoSpaceDN/>
        <w:bidi w:val="0"/>
        <w:spacing w:line="560" w:lineRule="exact"/>
        <w:ind w:left="0" w:firstLine="604"/>
        <w:rPr>
          <w:rFonts w:ascii="Times New Roman" w:hAnsi="Times New Roman"/>
          <w:snapToGrid w:val="0"/>
        </w:rPr>
      </w:pPr>
      <w:r>
        <w:rPr>
          <w:rFonts w:hint="eastAsia" w:ascii="Times New Roman" w:hAnsi="Times New Roman"/>
          <w:snapToGrid w:val="0"/>
        </w:rPr>
        <w:t>支持选择公文发文文号或手工输入文号。</w:t>
      </w:r>
    </w:p>
    <w:p>
      <w:pPr>
        <w:numPr>
          <w:ilvl w:val="0"/>
          <w:numId w:val="73"/>
        </w:numPr>
        <w:kinsoku/>
        <w:wordWrap/>
        <w:topLinePunct w:val="0"/>
        <w:autoSpaceDE/>
        <w:autoSpaceDN/>
        <w:bidi w:val="0"/>
        <w:spacing w:line="560" w:lineRule="exact"/>
        <w:ind w:left="0" w:firstLine="604"/>
        <w:rPr>
          <w:rFonts w:ascii="Times New Roman" w:hAnsi="Times New Roman"/>
          <w:snapToGrid w:val="0"/>
        </w:rPr>
      </w:pPr>
      <w:r>
        <w:rPr>
          <w:rFonts w:hint="eastAsia" w:ascii="Times New Roman" w:hAnsi="Times New Roman"/>
          <w:snapToGrid w:val="0"/>
        </w:rPr>
        <w:t>支持对公文的流程期限进行设置。</w:t>
      </w:r>
    </w:p>
    <w:p>
      <w:pPr>
        <w:numPr>
          <w:ilvl w:val="0"/>
          <w:numId w:val="73"/>
        </w:numPr>
        <w:kinsoku/>
        <w:wordWrap/>
        <w:topLinePunct w:val="0"/>
        <w:autoSpaceDE/>
        <w:autoSpaceDN/>
        <w:bidi w:val="0"/>
        <w:spacing w:line="560" w:lineRule="exact"/>
        <w:ind w:left="0" w:firstLine="604"/>
        <w:rPr>
          <w:rFonts w:ascii="Times New Roman" w:hAnsi="Times New Roman"/>
          <w:snapToGrid w:val="0"/>
        </w:rPr>
      </w:pPr>
      <w:r>
        <w:rPr>
          <w:rFonts w:hint="eastAsia" w:ascii="Times New Roman" w:hAnsi="Times New Roman"/>
          <w:snapToGrid w:val="0"/>
        </w:rPr>
        <w:t>支持流程期限到期之前对公文进行提前提醒时间的设置。</w:t>
      </w:r>
    </w:p>
    <w:p>
      <w:pPr>
        <w:numPr>
          <w:ilvl w:val="0"/>
          <w:numId w:val="73"/>
        </w:numPr>
        <w:kinsoku/>
        <w:wordWrap/>
        <w:topLinePunct w:val="0"/>
        <w:autoSpaceDE/>
        <w:autoSpaceDN/>
        <w:bidi w:val="0"/>
        <w:spacing w:line="560" w:lineRule="exact"/>
        <w:ind w:left="0" w:firstLine="604"/>
        <w:rPr>
          <w:rFonts w:ascii="Times New Roman" w:hAnsi="Times New Roman"/>
          <w:snapToGrid w:val="0"/>
        </w:rPr>
      </w:pPr>
      <w:r>
        <w:rPr>
          <w:rFonts w:hint="eastAsia" w:ascii="Times New Roman" w:hAnsi="Times New Roman"/>
          <w:snapToGrid w:val="0"/>
        </w:rPr>
        <w:t>可对跟踪人员进行选择。</w:t>
      </w:r>
    </w:p>
    <w:p>
      <w:pPr>
        <w:numPr>
          <w:ilvl w:val="0"/>
          <w:numId w:val="73"/>
        </w:numPr>
        <w:kinsoku/>
        <w:wordWrap/>
        <w:topLinePunct w:val="0"/>
        <w:autoSpaceDE/>
        <w:autoSpaceDN/>
        <w:bidi w:val="0"/>
        <w:spacing w:line="560" w:lineRule="exact"/>
        <w:ind w:left="0" w:firstLine="604"/>
        <w:rPr>
          <w:rFonts w:ascii="Times New Roman" w:hAnsi="Times New Roman"/>
          <w:snapToGrid w:val="0"/>
        </w:rPr>
      </w:pPr>
      <w:r>
        <w:rPr>
          <w:rFonts w:hint="eastAsia" w:ascii="Times New Roman" w:hAnsi="Times New Roman"/>
          <w:snapToGrid w:val="0"/>
        </w:rPr>
        <w:t>支持将编辑好的公文存为模板后，方便下次调用。</w:t>
      </w:r>
    </w:p>
    <w:p>
      <w:pPr>
        <w:numPr>
          <w:ilvl w:val="0"/>
          <w:numId w:val="73"/>
        </w:numPr>
        <w:kinsoku/>
        <w:wordWrap/>
        <w:topLinePunct w:val="0"/>
        <w:autoSpaceDE/>
        <w:autoSpaceDN/>
        <w:bidi w:val="0"/>
        <w:spacing w:line="560" w:lineRule="exact"/>
        <w:ind w:left="0" w:firstLine="604"/>
        <w:rPr>
          <w:rFonts w:ascii="方正仿宋_GBK" w:hAnsi="方正仿宋_GBK"/>
          <w:snapToGrid w:val="0"/>
        </w:rPr>
      </w:pPr>
      <w:r>
        <w:rPr>
          <w:rFonts w:hint="eastAsia" w:ascii="Times New Roman" w:hAnsi="Times New Roman"/>
          <w:snapToGrid w:val="0"/>
        </w:rPr>
        <w:t>发起者添加附言，流程中节点处理人可以看到所增加的附言。</w:t>
      </w:r>
    </w:p>
    <w:p>
      <w:pPr>
        <w:kinsoku/>
        <w:wordWrap/>
        <w:topLinePunct w:val="0"/>
        <w:autoSpaceDE/>
        <w:autoSpaceDN/>
        <w:bidi w:val="0"/>
        <w:spacing w:line="560" w:lineRule="exact"/>
        <w:ind w:firstLine="604"/>
      </w:pPr>
      <w:bookmarkStart w:id="248" w:name="_Toc81324073"/>
      <w:r>
        <w:rPr>
          <w:rFonts w:hint="eastAsia"/>
        </w:rPr>
        <w:t>（2）快速发文</w:t>
      </w:r>
      <w:bookmarkEnd w:id="248"/>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快速发文，可以快速进行正文套红以及归档、选择对应的发送单位后进入到交换环节，而无需经过分送节点处理才能进入交换环节。</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在新建界面可上传附件、关联文档，选择并编辑正文，直接选择套红模板套红，选择预归档文件夹，添加附言，文单字段填写等操作；</w:t>
      </w:r>
    </w:p>
    <w:p>
      <w:pPr>
        <w:kinsoku/>
        <w:wordWrap/>
        <w:topLinePunct w:val="0"/>
        <w:autoSpaceDE/>
        <w:autoSpaceDN/>
        <w:bidi w:val="0"/>
        <w:spacing w:line="560" w:lineRule="exact"/>
        <w:ind w:left="604" w:leftChars="200" w:firstLine="0" w:firstLineChars="0"/>
        <w:rPr>
          <w:rFonts w:ascii="方正仿宋_GBK" w:hAnsi="方正仿宋_GBK"/>
          <w:snapToGrid w:val="0"/>
        </w:rPr>
      </w:pPr>
      <w:r>
        <w:rPr>
          <w:rFonts w:hint="eastAsia" w:ascii="方正仿宋_GBK" w:hAnsi="方正仿宋_GBK"/>
          <w:snapToGrid w:val="0"/>
        </w:rPr>
        <w:t>可以选择正文套红模板，通过公文应用设置模板授权实现；</w:t>
      </w:r>
    </w:p>
    <w:p>
      <w:pPr>
        <w:kinsoku/>
        <w:wordWrap/>
        <w:topLinePunct w:val="0"/>
        <w:autoSpaceDE/>
        <w:autoSpaceDN/>
        <w:bidi w:val="0"/>
        <w:spacing w:line="560" w:lineRule="exact"/>
        <w:ind w:left="604" w:leftChars="200" w:firstLine="0" w:firstLineChars="0"/>
        <w:rPr>
          <w:rFonts w:ascii="方正仿宋_GBK" w:hAnsi="方正仿宋_GBK"/>
          <w:snapToGrid w:val="0"/>
        </w:rPr>
      </w:pPr>
      <w:r>
        <w:rPr>
          <w:rFonts w:hint="eastAsia" w:ascii="方正仿宋_GBK" w:hAnsi="方正仿宋_GBK"/>
          <w:snapToGrid w:val="0"/>
        </w:rPr>
        <w:t>支持预归档：可以归档到具有文档管理员权限的文档夹；</w:t>
      </w:r>
    </w:p>
    <w:p>
      <w:pPr>
        <w:kinsoku/>
        <w:wordWrap/>
        <w:topLinePunct w:val="0"/>
        <w:autoSpaceDE/>
        <w:autoSpaceDN/>
        <w:bidi w:val="0"/>
        <w:spacing w:line="560" w:lineRule="exact"/>
        <w:ind w:firstLine="604"/>
        <w:rPr>
          <w:rFonts w:ascii="Times New Roman" w:hAnsi="Times New Roman"/>
          <w:snapToGrid w:val="0"/>
        </w:rPr>
      </w:pPr>
      <w:r>
        <w:rPr>
          <w:rFonts w:hint="eastAsia" w:ascii="Times New Roman" w:hAnsi="Times New Roman"/>
          <w:snapToGrid w:val="0"/>
        </w:rPr>
        <w:t>将编辑的公文进行保存，不进行发送，公文事项进入【待发公文】列表中，用户通过待发事项中对公文进行修改，发送；</w:t>
      </w:r>
    </w:p>
    <w:p>
      <w:pPr>
        <w:kinsoku/>
        <w:wordWrap/>
        <w:topLinePunct w:val="0"/>
        <w:autoSpaceDE/>
        <w:autoSpaceDN/>
        <w:bidi w:val="0"/>
        <w:spacing w:line="560" w:lineRule="exact"/>
        <w:ind w:firstLine="604"/>
        <w:rPr>
          <w:rFonts w:ascii="Times New Roman" w:hAnsi="Times New Roman"/>
          <w:snapToGrid w:val="0"/>
        </w:rPr>
      </w:pPr>
      <w:r>
        <w:rPr>
          <w:rFonts w:hint="eastAsia" w:ascii="Times New Roman" w:hAnsi="Times New Roman"/>
          <w:snapToGrid w:val="0"/>
        </w:rPr>
        <w:t>不允许主送或者抄送单位为空。</w:t>
      </w:r>
    </w:p>
    <w:p>
      <w:pPr>
        <w:kinsoku/>
        <w:wordWrap/>
        <w:topLinePunct w:val="0"/>
        <w:autoSpaceDE/>
        <w:autoSpaceDN/>
        <w:bidi w:val="0"/>
        <w:spacing w:line="560" w:lineRule="exact"/>
        <w:ind w:firstLine="604"/>
      </w:pPr>
      <w:bookmarkStart w:id="249" w:name="_Toc81324074"/>
      <w:r>
        <w:rPr>
          <w:rFonts w:hint="eastAsia"/>
        </w:rPr>
        <w:t>（3）联合发文</w:t>
      </w:r>
      <w:bookmarkEnd w:id="249"/>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正文相同、文号、发文单位、主送等不同的两套公文，可经过一次审批流程定稿，分别经过两次不同格式的套红，形成两套公文，分别发往不同单位。文单中包含两套文号、发文单位、主送单位、抄报单位、抄送单位、印发份数，则系统自动将该公文标记为联合发文。不同单位、部门可以实现联合发文，共用同一个正文。</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主送单位发文拟文，经过联合发文节点处理，触发协办单位流程。结合协办单位处理意见分送此文。</w:t>
      </w:r>
    </w:p>
    <w:p>
      <w:pPr>
        <w:kinsoku/>
        <w:wordWrap/>
        <w:topLinePunct w:val="0"/>
        <w:autoSpaceDE/>
        <w:autoSpaceDN/>
        <w:bidi w:val="0"/>
        <w:spacing w:line="560" w:lineRule="exact"/>
        <w:ind w:firstLine="604"/>
        <w:rPr>
          <w:rFonts w:ascii="Times New Roman" w:hAnsi="Times New Roman"/>
          <w:snapToGrid w:val="0"/>
        </w:rPr>
      </w:pPr>
      <w:r>
        <w:rPr>
          <w:rFonts w:hint="eastAsia" w:ascii="Times New Roman" w:hAnsi="Times New Roman"/>
          <w:snapToGrid w:val="0"/>
        </w:rPr>
        <w:t>联合发文只针对部分公文元素：标题、主送单位、抄送单位、抄报单位、发文单位、公文级别、公文种类、紧急程度、份数、拟稿日期、正文，其中字段接收根据协办单位的文单配置字段。</w:t>
      </w:r>
    </w:p>
    <w:p>
      <w:pPr>
        <w:kinsoku/>
        <w:wordWrap/>
        <w:topLinePunct w:val="0"/>
        <w:autoSpaceDE/>
        <w:autoSpaceDN/>
        <w:bidi w:val="0"/>
        <w:spacing w:line="560" w:lineRule="exact"/>
        <w:ind w:firstLine="604"/>
        <w:rPr>
          <w:rFonts w:ascii="Times New Roman" w:hAnsi="Times New Roman"/>
          <w:snapToGrid w:val="0"/>
        </w:rPr>
      </w:pPr>
      <w:r>
        <w:rPr>
          <w:rFonts w:hint="eastAsia" w:ascii="Times New Roman" w:hAnsi="Times New Roman"/>
          <w:snapToGrid w:val="0"/>
        </w:rPr>
        <w:t>联合发文，协办流程中不会带上主办单位流程的附件及关联文档。</w:t>
      </w:r>
    </w:p>
    <w:p>
      <w:pPr>
        <w:kinsoku/>
        <w:wordWrap/>
        <w:topLinePunct w:val="0"/>
        <w:autoSpaceDE/>
        <w:autoSpaceDN/>
        <w:bidi w:val="0"/>
        <w:spacing w:line="560" w:lineRule="exact"/>
        <w:ind w:firstLine="604"/>
        <w:rPr>
          <w:rFonts w:ascii="Times New Roman" w:hAnsi="Times New Roman"/>
          <w:snapToGrid w:val="0"/>
        </w:rPr>
      </w:pPr>
      <w:r>
        <w:rPr>
          <w:rFonts w:hint="eastAsia" w:ascii="Times New Roman" w:hAnsi="Times New Roman"/>
          <w:snapToGrid w:val="0"/>
        </w:rPr>
        <w:t>联合发文必须配置联合发文单（公文应用设置-模板管理中点击toolbar按钮“联合发文协办流程设置”）。</w:t>
      </w:r>
    </w:p>
    <w:p>
      <w:pPr>
        <w:kinsoku/>
        <w:wordWrap/>
        <w:topLinePunct w:val="0"/>
        <w:autoSpaceDE/>
        <w:autoSpaceDN/>
        <w:bidi w:val="0"/>
        <w:spacing w:line="560" w:lineRule="exact"/>
        <w:ind w:firstLine="604"/>
      </w:pPr>
      <w:bookmarkStart w:id="250" w:name="_Toc81324075"/>
      <w:r>
        <w:rPr>
          <w:rFonts w:hint="eastAsia"/>
        </w:rPr>
        <w:t>（4）文单签批</w:t>
      </w:r>
      <w:bookmarkEnd w:id="250"/>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公文发起后相关节点对公文格式，公文内容进行核定确认，提出修改意见。在公文处理过程中，用户可以在公文单上进行手写签字和盖章，文单签批功能可以通过单位管理员配置公文节点权限的操作来实现。</w:t>
      </w:r>
    </w:p>
    <w:p>
      <w:pPr>
        <w:kinsoku/>
        <w:wordWrap/>
        <w:topLinePunct w:val="0"/>
        <w:autoSpaceDE/>
        <w:autoSpaceDN/>
        <w:bidi w:val="0"/>
        <w:spacing w:line="560" w:lineRule="exact"/>
        <w:ind w:left="604" w:leftChars="200" w:firstLine="0" w:firstLineChars="0"/>
        <w:rPr>
          <w:rFonts w:ascii="方正仿宋_GBK" w:hAnsi="方正仿宋_GBK"/>
          <w:snapToGrid w:val="0"/>
        </w:rPr>
      </w:pPr>
      <w:r>
        <w:rPr>
          <w:rFonts w:hint="eastAsia" w:ascii="方正仿宋_GBK" w:hAnsi="方正仿宋_GBK"/>
          <w:snapToGrid w:val="0"/>
        </w:rPr>
        <w:t>对接第三方电子签章系统，实现电子签章。</w:t>
      </w:r>
    </w:p>
    <w:p>
      <w:pPr>
        <w:kinsoku/>
        <w:wordWrap/>
        <w:topLinePunct w:val="0"/>
        <w:autoSpaceDE/>
        <w:autoSpaceDN/>
        <w:bidi w:val="0"/>
        <w:spacing w:line="560" w:lineRule="exact"/>
        <w:ind w:left="604" w:leftChars="200" w:firstLine="0" w:firstLineChars="0"/>
        <w:rPr>
          <w:rFonts w:ascii="方正仿宋_GBK" w:hAnsi="方正仿宋_GBK"/>
          <w:snapToGrid w:val="0"/>
        </w:rPr>
      </w:pPr>
      <w:r>
        <w:rPr>
          <w:rFonts w:hint="eastAsia" w:ascii="方正仿宋_GBK" w:hAnsi="方正仿宋_GBK"/>
          <w:snapToGrid w:val="0"/>
        </w:rPr>
        <w:t>支持对文单进行手写签字，添加自己的意见和批注。</w:t>
      </w:r>
    </w:p>
    <w:p>
      <w:pPr>
        <w:kinsoku/>
        <w:wordWrap/>
        <w:topLinePunct w:val="0"/>
        <w:autoSpaceDE/>
        <w:autoSpaceDN/>
        <w:bidi w:val="0"/>
        <w:spacing w:line="560" w:lineRule="exact"/>
        <w:ind w:firstLine="604"/>
        <w:rPr>
          <w:rFonts w:ascii="Times New Roman" w:hAnsi="Times New Roman"/>
          <w:snapToGrid w:val="0"/>
        </w:rPr>
      </w:pPr>
      <w:r>
        <w:rPr>
          <w:rFonts w:hint="eastAsia" w:ascii="Times New Roman" w:hAnsi="Times New Roman"/>
          <w:snapToGrid w:val="0"/>
        </w:rPr>
        <w:t>支持可以选择系统已设定好的签批文字，也可以手工输入签批内容。</w:t>
      </w:r>
    </w:p>
    <w:p>
      <w:pPr>
        <w:kinsoku/>
        <w:wordWrap/>
        <w:topLinePunct w:val="0"/>
        <w:autoSpaceDE/>
        <w:autoSpaceDN/>
        <w:bidi w:val="0"/>
        <w:spacing w:line="560" w:lineRule="exact"/>
        <w:ind w:firstLine="604"/>
        <w:rPr>
          <w:rFonts w:ascii="Times New Roman" w:hAnsi="Times New Roman"/>
          <w:snapToGrid w:val="0"/>
        </w:rPr>
      </w:pPr>
      <w:r>
        <w:rPr>
          <w:rFonts w:hint="eastAsia" w:ascii="Times New Roman" w:hAnsi="Times New Roman"/>
          <w:snapToGrid w:val="0"/>
        </w:rPr>
        <w:t>系统支持在文单页面中填写意见，审核人意见按照职级倒序排名显示。</w:t>
      </w:r>
    </w:p>
    <w:p>
      <w:pPr>
        <w:kinsoku/>
        <w:wordWrap/>
        <w:topLinePunct w:val="0"/>
        <w:autoSpaceDE/>
        <w:autoSpaceDN/>
        <w:bidi w:val="0"/>
        <w:spacing w:line="560" w:lineRule="exact"/>
        <w:ind w:left="604" w:leftChars="200" w:firstLine="0" w:firstLineChars="0"/>
        <w:rPr>
          <w:rFonts w:ascii="方正仿宋_GBK" w:hAnsi="方正仿宋_GBK"/>
          <w:snapToGrid w:val="0"/>
        </w:rPr>
      </w:pPr>
      <w:r>
        <w:rPr>
          <w:rFonts w:hint="eastAsia" w:ascii="方正仿宋_GBK" w:hAnsi="方正仿宋_GBK"/>
          <w:snapToGrid w:val="0"/>
        </w:rPr>
        <w:t>支持插入附件和流程的临时加签、减签和回退功能。</w:t>
      </w:r>
    </w:p>
    <w:p>
      <w:pPr>
        <w:kinsoku/>
        <w:wordWrap/>
        <w:topLinePunct w:val="0"/>
        <w:autoSpaceDE/>
        <w:autoSpaceDN/>
        <w:bidi w:val="0"/>
        <w:spacing w:line="560" w:lineRule="exact"/>
        <w:ind w:left="604" w:leftChars="200" w:firstLine="0" w:firstLineChars="0"/>
        <w:rPr>
          <w:rFonts w:ascii="方正仿宋_GBK" w:hAnsi="方正仿宋_GBK"/>
          <w:snapToGrid w:val="0"/>
        </w:rPr>
      </w:pPr>
      <w:r>
        <w:rPr>
          <w:rFonts w:hint="eastAsia" w:ascii="方正仿宋_GBK" w:hAnsi="方正仿宋_GBK"/>
          <w:snapToGrid w:val="0"/>
        </w:rPr>
        <w:t>支持公文单意见显示自定义。</w:t>
      </w:r>
    </w:p>
    <w:p>
      <w:pPr>
        <w:kinsoku/>
        <w:wordWrap/>
        <w:topLinePunct w:val="0"/>
        <w:autoSpaceDE/>
        <w:autoSpaceDN/>
        <w:bidi w:val="0"/>
        <w:spacing w:line="560" w:lineRule="exact"/>
        <w:ind w:firstLine="604"/>
      </w:pPr>
      <w:bookmarkStart w:id="251" w:name="_Toc81324076"/>
      <w:r>
        <w:rPr>
          <w:rFonts w:hint="eastAsia"/>
        </w:rPr>
        <w:t>（5）正文修改</w:t>
      </w:r>
      <w:bookmarkEnd w:id="251"/>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snapToGrid w:val="0"/>
        </w:rPr>
        <w:t>对起草的公文正文进行核查，通过修改正文进行文件的修改完善。修改正文包括正文编辑、文字批注、文档清稿、显示痕迹、隐藏痕迹等。</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对于已经套红过的正文，点击【修改正文】后，系统会弹出“是否将公文单中的内容自动更新到正文中？”的提示信息；对已经加盖印章的正文，不允许修改正文。</w:t>
      </w:r>
    </w:p>
    <w:p>
      <w:pPr>
        <w:kinsoku/>
        <w:wordWrap/>
        <w:topLinePunct w:val="0"/>
        <w:autoSpaceDE/>
        <w:autoSpaceDN/>
        <w:bidi w:val="0"/>
        <w:spacing w:line="560" w:lineRule="exact"/>
        <w:ind w:firstLine="604"/>
      </w:pPr>
      <w:bookmarkStart w:id="252" w:name="_Toc81324077"/>
      <w:r>
        <w:rPr>
          <w:rFonts w:hint="eastAsia"/>
        </w:rPr>
        <w:t>（6）文号修改</w:t>
      </w:r>
      <w:bookmarkEnd w:id="252"/>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修改公文文号，支持手工输入文号和断号选择两种方式。</w:t>
      </w:r>
    </w:p>
    <w:p>
      <w:pPr>
        <w:kinsoku/>
        <w:wordWrap/>
        <w:topLinePunct w:val="0"/>
        <w:autoSpaceDE/>
        <w:autoSpaceDN/>
        <w:bidi w:val="0"/>
        <w:spacing w:line="560" w:lineRule="exact"/>
        <w:ind w:firstLine="604"/>
      </w:pPr>
      <w:bookmarkStart w:id="253" w:name="_Toc81324078"/>
      <w:r>
        <w:rPr>
          <w:rFonts w:hint="eastAsia"/>
        </w:rPr>
        <w:t>（7）公文流转规则</w:t>
      </w:r>
      <w:bookmarkEnd w:id="253"/>
      <w:r>
        <w:rPr>
          <w:rFonts w:hint="eastAsia"/>
        </w:rPr>
        <w:t>设置</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snapToGrid w:val="0"/>
        </w:rPr>
        <w:t>根据机关内部的机构设置公文流转流程，增加相关业务流程公文流转规则</w:t>
      </w:r>
      <w:r>
        <w:rPr>
          <w:rFonts w:hint="eastAsia" w:ascii="方正仿宋_GBK" w:hAnsi="方正仿宋_GBK"/>
        </w:rPr>
        <w:t>：</w:t>
      </w:r>
    </w:p>
    <w:p>
      <w:pPr>
        <w:numPr>
          <w:ilvl w:val="0"/>
          <w:numId w:val="74"/>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相关数据</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支持公文文单查询统计、相关文档关联</w:t>
      </w:r>
    </w:p>
    <w:p>
      <w:pPr>
        <w:numPr>
          <w:ilvl w:val="0"/>
          <w:numId w:val="74"/>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流程仿真</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支持公文流程模拟运行，检查公文流程合规性</w:t>
      </w:r>
    </w:p>
    <w:p>
      <w:pPr>
        <w:numPr>
          <w:ilvl w:val="0"/>
          <w:numId w:val="74"/>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环形流程</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支持公文流程两个节点</w:t>
      </w:r>
      <w:r>
        <w:rPr>
          <w:rFonts w:hint="eastAsia" w:ascii="方正仿宋_GBK" w:hAnsi="方正仿宋_GBK"/>
          <w:snapToGrid w:val="0"/>
          <w:lang w:eastAsia="zh-CN"/>
        </w:rPr>
        <w:t>之间</w:t>
      </w:r>
      <w:r>
        <w:rPr>
          <w:rFonts w:hint="eastAsia" w:ascii="方正仿宋_GBK" w:hAnsi="方正仿宋_GBK"/>
          <w:snapToGrid w:val="0"/>
        </w:rPr>
        <w:t>的循环审核，直到满足条件继续完成后续节点流转</w:t>
      </w:r>
    </w:p>
    <w:p>
      <w:pPr>
        <w:numPr>
          <w:ilvl w:val="0"/>
          <w:numId w:val="74"/>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流程动态匹配表</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支持将流程分支条件组合放入一张动态匹配表，实现简易分支维护</w:t>
      </w:r>
    </w:p>
    <w:p>
      <w:pPr>
        <w:numPr>
          <w:ilvl w:val="0"/>
          <w:numId w:val="74"/>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流程合并处理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支持流程多个节点为连续同一人时，合并一次性处理</w:t>
      </w:r>
    </w:p>
    <w:p>
      <w:pPr>
        <w:numPr>
          <w:ilvl w:val="0"/>
          <w:numId w:val="74"/>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文单控件作为流程节点</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支持流程中的节点定义成文单中的相对角色，流程按相对角色进行流转</w:t>
      </w:r>
    </w:p>
    <w:p>
      <w:pPr>
        <w:numPr>
          <w:ilvl w:val="0"/>
          <w:numId w:val="74"/>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文单控件作为分支条件</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支持将文单控件数据定义到流程节点判断条件中，按条件流转</w:t>
      </w:r>
    </w:p>
    <w:p>
      <w:pPr>
        <w:numPr>
          <w:ilvl w:val="0"/>
          <w:numId w:val="74"/>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子流程设置</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支持流程中分主流程加子流程的组合，子流程完成后回归主流程流转</w:t>
      </w:r>
    </w:p>
    <w:p>
      <w:pPr>
        <w:numPr>
          <w:ilvl w:val="0"/>
          <w:numId w:val="74"/>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触发流程</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支持定义流程流转到某节点时触发新的流程。</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星状流程：公文审批场景中，文书经常在领导处理后根据领导意见在送给相关人员处理，因此需要以文书为中心的星形流程。单位“领导审批后返回承办人，再由承办人交下一领导审批”</w:t>
      </w:r>
    </w:p>
    <w:p>
      <w:pPr>
        <w:kinsoku/>
        <w:wordWrap/>
        <w:topLinePunct w:val="0"/>
        <w:autoSpaceDE/>
        <w:autoSpaceDN/>
        <w:bidi w:val="0"/>
        <w:spacing w:line="560" w:lineRule="exact"/>
        <w:ind w:firstLine="604"/>
      </w:pPr>
      <w:bookmarkStart w:id="254" w:name="_Toc81324079"/>
      <w:r>
        <w:rPr>
          <w:rFonts w:hint="eastAsia"/>
        </w:rPr>
        <w:t>（8）公文会签</w:t>
      </w:r>
      <w:bookmarkEnd w:id="254"/>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会签环节，可以根据公文内容填写节点意见，通过可视化的流程和操作会签给相关责任人进行事项深入讨论。</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系统支持工作流的图形化定义，支持工作流节点选择时能够按指定人、职务、角色等自由选择。如下图所示：</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系统具有加签、知会、未办撤回、退回重办等功能；经授权的各节点用户能够自主修改以后的流程，并根据授权情况确定是否具有修改正文的权限。</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公文会签流程相对灵活，可根据实际情况调整为串行和并行模式。</w:t>
      </w:r>
    </w:p>
    <w:p>
      <w:pPr>
        <w:kinsoku/>
        <w:wordWrap/>
        <w:topLinePunct w:val="0"/>
        <w:autoSpaceDE/>
        <w:autoSpaceDN/>
        <w:bidi w:val="0"/>
        <w:spacing w:line="560" w:lineRule="exact"/>
        <w:ind w:firstLine="604"/>
      </w:pPr>
      <w:bookmarkStart w:id="255" w:name="_Toc81324080"/>
      <w:r>
        <w:rPr>
          <w:rFonts w:hint="eastAsia"/>
        </w:rPr>
        <w:t>（9）公文签发</w:t>
      </w:r>
      <w:bookmarkEnd w:id="255"/>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经过各个部门的充分讨论和意见审核，单位或各单位主管领导进行签发工作。系统支持公文单和公文电子签名、手写原笔迹等多种签批方式。如下图所示：</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针对移动端的公文签发，平台支持原笔迹手写签批。</w:t>
      </w:r>
    </w:p>
    <w:p>
      <w:pPr>
        <w:kinsoku/>
        <w:wordWrap/>
        <w:topLinePunct w:val="0"/>
        <w:autoSpaceDE/>
        <w:autoSpaceDN/>
        <w:bidi w:val="0"/>
        <w:spacing w:line="560" w:lineRule="exact"/>
        <w:ind w:firstLine="604"/>
        <w:rPr>
          <w:rFonts w:ascii="Times New Roman" w:hAnsi="Times New Roman"/>
          <w:snapToGrid w:val="0"/>
        </w:rPr>
      </w:pPr>
      <w:r>
        <w:rPr>
          <w:rFonts w:hint="eastAsia" w:ascii="Times New Roman" w:hAnsi="Times New Roman"/>
          <w:snapToGrid w:val="0"/>
        </w:rPr>
        <w:t>在表单上可进行原笔迹手写签批，连笔输入、即时识别，真实自然。</w:t>
      </w:r>
    </w:p>
    <w:p>
      <w:pPr>
        <w:kinsoku/>
        <w:wordWrap/>
        <w:topLinePunct w:val="0"/>
        <w:autoSpaceDE/>
        <w:autoSpaceDN/>
        <w:bidi w:val="0"/>
        <w:spacing w:line="560" w:lineRule="exact"/>
        <w:ind w:firstLine="604"/>
        <w:rPr>
          <w:rFonts w:ascii="Times New Roman" w:hAnsi="Times New Roman"/>
          <w:snapToGrid w:val="0"/>
        </w:rPr>
      </w:pPr>
      <w:r>
        <w:rPr>
          <w:rFonts w:hint="eastAsia" w:ascii="Times New Roman" w:hAnsi="Times New Roman"/>
          <w:snapToGrid w:val="0"/>
        </w:rPr>
        <w:t>无需打字，让审批化繁为简、见字如面，还原真实的办公体验。</w:t>
      </w:r>
    </w:p>
    <w:p>
      <w:pPr>
        <w:kinsoku/>
        <w:wordWrap/>
        <w:topLinePunct w:val="0"/>
        <w:autoSpaceDE/>
        <w:autoSpaceDN/>
        <w:bidi w:val="0"/>
        <w:spacing w:line="560" w:lineRule="exact"/>
        <w:ind w:firstLine="604"/>
        <w:rPr>
          <w:rFonts w:ascii="Times New Roman" w:hAnsi="Times New Roman"/>
          <w:snapToGrid w:val="0"/>
        </w:rPr>
      </w:pPr>
      <w:r>
        <w:rPr>
          <w:rFonts w:hint="eastAsia" w:ascii="Times New Roman" w:hAnsi="Times New Roman"/>
          <w:snapToGrid w:val="0"/>
        </w:rPr>
        <w:t>在表单上可加盖电子印章，高保真显示签章图片。</w:t>
      </w:r>
    </w:p>
    <w:p>
      <w:pPr>
        <w:kinsoku/>
        <w:wordWrap/>
        <w:topLinePunct w:val="0"/>
        <w:autoSpaceDE/>
        <w:autoSpaceDN/>
        <w:bidi w:val="0"/>
        <w:spacing w:line="560" w:lineRule="exact"/>
        <w:ind w:firstLine="604"/>
        <w:rPr>
          <w:rFonts w:ascii="Times New Roman" w:hAnsi="Times New Roman"/>
          <w:snapToGrid w:val="0"/>
        </w:rPr>
      </w:pPr>
      <w:r>
        <w:rPr>
          <w:rFonts w:hint="eastAsia" w:ascii="Times New Roman" w:hAnsi="Times New Roman"/>
          <w:snapToGrid w:val="0"/>
        </w:rPr>
        <w:t>密码保护，确保签章不被盗用，签章位置可以任意拖动。</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修改痕迹保留：公文正文编辑实现与 Microsoft office和WPS等程序的无缝集成，在公文审批、修改过程中全面支持正文痕迹保留和文档版本控制的功能，并可从痕迹上进行时间、姓名查询；系统支持严格的版本控制和日志记录；不同人员修改的内容以不同颜色标注。</w:t>
      </w:r>
    </w:p>
    <w:p>
      <w:pPr>
        <w:kinsoku/>
        <w:wordWrap/>
        <w:topLinePunct w:val="0"/>
        <w:autoSpaceDE/>
        <w:autoSpaceDN/>
        <w:bidi w:val="0"/>
        <w:spacing w:line="560" w:lineRule="exact"/>
        <w:ind w:firstLine="604"/>
      </w:pPr>
      <w:bookmarkStart w:id="256" w:name="_Toc81324081"/>
      <w:r>
        <w:rPr>
          <w:rFonts w:hint="eastAsia"/>
        </w:rPr>
        <w:t>（10）公文套红</w:t>
      </w:r>
      <w:bookmarkEnd w:id="256"/>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根据机关工作需要预置多套公文套红模板、套头名称，以下拉列表形式供公文套红时选择。</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成文格式：</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公文格式规范化。正文可采用自动套红和手动套红相结合的方式，自动套红可预置套红模板，模板自动带入公文编号，并与公文单同步，实现文号的自动合规。公文清单与正文内容通过元素定义方式，实现双向同步。</w:t>
      </w:r>
    </w:p>
    <w:p>
      <w:pPr>
        <w:kinsoku/>
        <w:wordWrap/>
        <w:topLinePunct w:val="0"/>
        <w:autoSpaceDE/>
        <w:autoSpaceDN/>
        <w:bidi w:val="0"/>
        <w:spacing w:line="560" w:lineRule="exact"/>
        <w:ind w:left="604" w:leftChars="200" w:firstLine="0" w:firstLineChars="0"/>
        <w:rPr>
          <w:rFonts w:ascii="方正仿宋_GBK" w:hAnsi="方正仿宋_GBK"/>
          <w:snapToGrid w:val="0"/>
        </w:rPr>
      </w:pPr>
      <w:r>
        <w:rPr>
          <w:rFonts w:hint="eastAsia" w:ascii="方正仿宋_GBK" w:hAnsi="方正仿宋_GBK"/>
          <w:snapToGrid w:val="0"/>
        </w:rPr>
        <w:t>支持提前预制公文红头；</w:t>
      </w:r>
    </w:p>
    <w:p>
      <w:pPr>
        <w:kinsoku/>
        <w:wordWrap/>
        <w:topLinePunct w:val="0"/>
        <w:autoSpaceDE/>
        <w:autoSpaceDN/>
        <w:bidi w:val="0"/>
        <w:spacing w:line="560" w:lineRule="exact"/>
        <w:ind w:left="604" w:leftChars="200" w:firstLine="0" w:firstLineChars="0"/>
        <w:rPr>
          <w:rFonts w:ascii="方正仿宋_GBK" w:hAnsi="方正仿宋_GBK"/>
          <w:snapToGrid w:val="0"/>
        </w:rPr>
      </w:pPr>
      <w:r>
        <w:rPr>
          <w:rFonts w:hint="eastAsia" w:ascii="方正仿宋_GBK" w:hAnsi="方正仿宋_GBK"/>
          <w:snapToGrid w:val="0"/>
        </w:rPr>
        <w:t>支持选择红头对公文正文套红；</w:t>
      </w:r>
    </w:p>
    <w:p>
      <w:pPr>
        <w:kinsoku/>
        <w:wordWrap/>
        <w:topLinePunct w:val="0"/>
        <w:autoSpaceDE/>
        <w:autoSpaceDN/>
        <w:bidi w:val="0"/>
        <w:spacing w:line="560" w:lineRule="exact"/>
        <w:ind w:left="604" w:leftChars="200" w:firstLine="0" w:firstLineChars="0"/>
        <w:rPr>
          <w:rFonts w:ascii="方正仿宋_GBK" w:hAnsi="方正仿宋_GBK"/>
          <w:snapToGrid w:val="0"/>
        </w:rPr>
      </w:pPr>
      <w:r>
        <w:rPr>
          <w:rFonts w:hint="eastAsia" w:ascii="方正仿宋_GBK" w:hAnsi="方正仿宋_GBK"/>
          <w:snapToGrid w:val="0"/>
        </w:rPr>
        <w:t>支持多次嵌套公文红头模板；</w:t>
      </w:r>
    </w:p>
    <w:p>
      <w:pPr>
        <w:kinsoku/>
        <w:wordWrap/>
        <w:topLinePunct w:val="0"/>
        <w:autoSpaceDE/>
        <w:autoSpaceDN/>
        <w:bidi w:val="0"/>
        <w:spacing w:line="560" w:lineRule="exact"/>
        <w:ind w:left="604" w:leftChars="200" w:firstLine="0" w:firstLineChars="0"/>
        <w:rPr>
          <w:rFonts w:ascii="方正仿宋_GBK" w:hAnsi="方正仿宋_GBK"/>
          <w:snapToGrid w:val="0"/>
        </w:rPr>
      </w:pPr>
      <w:r>
        <w:rPr>
          <w:rFonts w:hint="eastAsia" w:ascii="方正仿宋_GBK" w:hAnsi="方正仿宋_GBK"/>
          <w:snapToGrid w:val="0"/>
        </w:rPr>
        <w:t>支持编辑红头。</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为方便在黑白打印机上用印刷的带有红头的纸打印正文，引入“原稿”和“正稿”的概念以同时满足纸质打印和电子公文传输两方面的需求。“原稿”是指盖章之前的版本，“正稿”是指盖章之后的版本。</w:t>
      </w:r>
    </w:p>
    <w:p>
      <w:pPr>
        <w:kinsoku/>
        <w:wordWrap/>
        <w:topLinePunct w:val="0"/>
        <w:autoSpaceDE/>
        <w:autoSpaceDN/>
        <w:bidi w:val="0"/>
        <w:spacing w:line="560" w:lineRule="exact"/>
        <w:ind w:firstLine="604"/>
      </w:pPr>
      <w:bookmarkStart w:id="257" w:name="_Toc81324082"/>
      <w:r>
        <w:rPr>
          <w:rFonts w:hint="eastAsia"/>
        </w:rPr>
        <w:t>（11）电子签章</w:t>
      </w:r>
      <w:bookmarkEnd w:id="257"/>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通过集成电子印章，实现数字签名功能，套章名称以下拉列表式方便选择。公文使用者如果篡改公文正文任何内容，红章信息将不会显示。</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公文管理模块具有开放性，留有公文接入接口，实现公文用印、版式控制和唯一性校验等功能。</w:t>
      </w:r>
    </w:p>
    <w:p>
      <w:pPr>
        <w:kinsoku/>
        <w:wordWrap/>
        <w:topLinePunct w:val="0"/>
        <w:autoSpaceDE/>
        <w:autoSpaceDN/>
        <w:bidi w:val="0"/>
        <w:spacing w:line="560" w:lineRule="exact"/>
        <w:ind w:firstLine="604"/>
      </w:pPr>
      <w:bookmarkStart w:id="258" w:name="_Toc81324083"/>
      <w:r>
        <w:rPr>
          <w:rFonts w:hint="eastAsia"/>
        </w:rPr>
        <w:t>（12）公文分发</w:t>
      </w:r>
      <w:bookmarkEnd w:id="258"/>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办公室文员根据公文内容和领导意见，在文单中选择主送单位和抄送单位，进入公文交换环节。</w:t>
      </w:r>
    </w:p>
    <w:p>
      <w:pPr>
        <w:kinsoku/>
        <w:wordWrap/>
        <w:topLinePunct w:val="0"/>
        <w:autoSpaceDE/>
        <w:autoSpaceDN/>
        <w:bidi w:val="0"/>
        <w:spacing w:line="560" w:lineRule="exact"/>
        <w:ind w:left="604" w:leftChars="200" w:firstLine="0" w:firstLineChars="0"/>
        <w:rPr>
          <w:rFonts w:ascii="方正仿宋_GBK" w:hAnsi="方正仿宋_GBK"/>
          <w:snapToGrid w:val="0"/>
        </w:rPr>
      </w:pPr>
      <w:r>
        <w:rPr>
          <w:rFonts w:hint="eastAsia" w:ascii="方正仿宋_GBK" w:hAnsi="方正仿宋_GBK"/>
          <w:snapToGrid w:val="0"/>
        </w:rPr>
        <w:t>支持主送、抄送单位从系统组织架构中选择。</w:t>
      </w:r>
    </w:p>
    <w:p>
      <w:pPr>
        <w:kinsoku/>
        <w:wordWrap/>
        <w:topLinePunct w:val="0"/>
        <w:autoSpaceDE/>
        <w:autoSpaceDN/>
        <w:bidi w:val="0"/>
        <w:spacing w:line="560" w:lineRule="exact"/>
        <w:ind w:left="604" w:leftChars="200" w:firstLine="0" w:firstLineChars="0"/>
        <w:rPr>
          <w:rFonts w:ascii="方正仿宋_GBK" w:hAnsi="方正仿宋_GBK"/>
          <w:snapToGrid w:val="0"/>
        </w:rPr>
      </w:pPr>
      <w:r>
        <w:rPr>
          <w:rFonts w:hint="eastAsia" w:ascii="方正仿宋_GBK" w:hAnsi="方正仿宋_GBK"/>
          <w:snapToGrid w:val="0"/>
        </w:rPr>
        <w:t>支持外部单位引用。</w:t>
      </w:r>
    </w:p>
    <w:p>
      <w:pPr>
        <w:kinsoku/>
        <w:wordWrap/>
        <w:topLinePunct w:val="0"/>
        <w:autoSpaceDE/>
        <w:autoSpaceDN/>
        <w:bidi w:val="0"/>
        <w:spacing w:line="560" w:lineRule="exact"/>
        <w:ind w:left="604" w:leftChars="200" w:firstLine="0" w:firstLineChars="0"/>
        <w:rPr>
          <w:rFonts w:ascii="方正仿宋_GBK" w:hAnsi="方正仿宋_GBK"/>
          <w:snapToGrid w:val="0"/>
        </w:rPr>
      </w:pPr>
      <w:r>
        <w:rPr>
          <w:rFonts w:hint="eastAsia" w:ascii="方正仿宋_GBK" w:hAnsi="方正仿宋_GBK"/>
          <w:snapToGrid w:val="0"/>
        </w:rPr>
        <w:t>支持机构组选择。</w:t>
      </w:r>
    </w:p>
    <w:p>
      <w:pPr>
        <w:kinsoku/>
        <w:wordWrap/>
        <w:topLinePunct w:val="0"/>
        <w:autoSpaceDE/>
        <w:autoSpaceDN/>
        <w:bidi w:val="0"/>
        <w:spacing w:line="560" w:lineRule="exact"/>
        <w:ind w:left="604" w:leftChars="200" w:firstLine="0" w:firstLineChars="0"/>
        <w:rPr>
          <w:rFonts w:ascii="方正仿宋_GBK" w:hAnsi="方正仿宋_GBK"/>
          <w:snapToGrid w:val="0"/>
        </w:rPr>
      </w:pPr>
      <w:r>
        <w:rPr>
          <w:rFonts w:hint="eastAsia" w:ascii="方正仿宋_GBK" w:hAnsi="方正仿宋_GBK"/>
          <w:snapToGrid w:val="0"/>
        </w:rPr>
        <w:t>支持发文直接送文。</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人员配置较少的单位，没有固定送文人员，直接在发文过程中由封发人或是回到拟文人处理并送文。</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快捷收文：人员配置较少的单位，收文单位签收时，直接签收并分办，省去登记、分办环节；单位内部各科室之间往来文有独立收文流程，各科室可单独收文。</w:t>
      </w:r>
    </w:p>
    <w:p>
      <w:pPr>
        <w:kinsoku/>
        <w:wordWrap/>
        <w:topLinePunct w:val="0"/>
        <w:autoSpaceDE/>
        <w:autoSpaceDN/>
        <w:bidi w:val="0"/>
        <w:spacing w:line="560" w:lineRule="exact"/>
        <w:ind w:firstLine="604"/>
      </w:pPr>
      <w:bookmarkStart w:id="259" w:name="_Toc81324084"/>
      <w:r>
        <w:rPr>
          <w:rFonts w:hint="eastAsia"/>
        </w:rPr>
        <w:t>（13）发文管理</w:t>
      </w:r>
      <w:bookmarkEnd w:id="259"/>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发文管理</w:t>
      </w:r>
      <w:r>
        <w:rPr>
          <w:rFonts w:hint="eastAsia" w:ascii="方正仿宋_GBK" w:hAnsi="方正仿宋_GBK"/>
          <w:snapToGrid w:val="0"/>
          <w:lang w:eastAsia="zh-CN"/>
        </w:rPr>
        <w:t>是</w:t>
      </w:r>
      <w:r>
        <w:rPr>
          <w:rFonts w:hint="eastAsia" w:ascii="方正仿宋_GBK" w:hAnsi="方正仿宋_GBK"/>
          <w:snapToGrid w:val="0"/>
        </w:rPr>
        <w:t>将待办、已办、在办、已办结、待发、已发的发文进行统一列表</w:t>
      </w:r>
      <w:r>
        <w:rPr>
          <w:rFonts w:hint="eastAsia" w:ascii="方正仿宋_GBK" w:hAnsi="方正仿宋_GBK"/>
          <w:snapToGrid w:val="0"/>
          <w:lang w:eastAsia="zh-CN"/>
        </w:rPr>
        <w:t>形式</w:t>
      </w:r>
      <w:r>
        <w:rPr>
          <w:rFonts w:hint="eastAsia" w:ascii="方正仿宋_GBK" w:hAnsi="方正仿宋_GBK"/>
          <w:snapToGrid w:val="0"/>
        </w:rPr>
        <w:t>展现，可以供操作者进行查询和流程跟踪，还可以查看处理明细、流程日志、催办日志等。</w:t>
      </w:r>
    </w:p>
    <w:p>
      <w:pPr>
        <w:kinsoku/>
        <w:wordWrap/>
        <w:topLinePunct w:val="0"/>
        <w:autoSpaceDE/>
        <w:autoSpaceDN/>
        <w:bidi w:val="0"/>
        <w:spacing w:line="560" w:lineRule="exact"/>
        <w:ind w:firstLine="606"/>
        <w:rPr>
          <w:b/>
          <w:bCs/>
        </w:rPr>
      </w:pPr>
      <w:bookmarkStart w:id="260" w:name="_Toc83212680"/>
      <w:bookmarkStart w:id="261" w:name="_Toc81324085"/>
      <w:r>
        <w:rPr>
          <w:rFonts w:hint="eastAsia"/>
          <w:b/>
          <w:bCs/>
        </w:rPr>
        <w:t>3.签报管理</w:t>
      </w:r>
      <w:bookmarkEnd w:id="260"/>
      <w:bookmarkEnd w:id="261"/>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签报管理，是将待办、已办、在办、已办结、待发、已发的签报进行统一列表</w:t>
      </w:r>
      <w:r>
        <w:rPr>
          <w:rFonts w:hint="eastAsia" w:ascii="方正仿宋_GBK" w:hAnsi="方正仿宋_GBK"/>
          <w:snapToGrid w:val="0"/>
          <w:lang w:eastAsia="zh-CN"/>
        </w:rPr>
        <w:t>形式</w:t>
      </w:r>
      <w:r>
        <w:rPr>
          <w:rFonts w:hint="eastAsia" w:ascii="方正仿宋_GBK" w:hAnsi="方正仿宋_GBK"/>
          <w:snapToGrid w:val="0"/>
        </w:rPr>
        <w:t>展现，可以供操作者进行查询和流程跟踪，还可以查看处理明细、流程日志、催办日志等。</w:t>
      </w:r>
    </w:p>
    <w:p>
      <w:pPr>
        <w:kinsoku/>
        <w:wordWrap/>
        <w:topLinePunct w:val="0"/>
        <w:autoSpaceDE/>
        <w:autoSpaceDN/>
        <w:bidi w:val="0"/>
        <w:spacing w:line="560" w:lineRule="exact"/>
        <w:ind w:firstLine="606"/>
        <w:rPr>
          <w:b/>
          <w:bCs/>
        </w:rPr>
      </w:pPr>
      <w:bookmarkStart w:id="262" w:name="_Toc83212681"/>
      <w:bookmarkStart w:id="263" w:name="_Toc81324088"/>
      <w:r>
        <w:rPr>
          <w:rFonts w:hint="eastAsia"/>
          <w:b/>
          <w:bCs/>
        </w:rPr>
        <w:t>4.收文管理</w:t>
      </w:r>
      <w:bookmarkEnd w:id="262"/>
      <w:bookmarkEnd w:id="263"/>
    </w:p>
    <w:p>
      <w:pPr>
        <w:kinsoku/>
        <w:wordWrap/>
        <w:topLinePunct w:val="0"/>
        <w:autoSpaceDE/>
        <w:autoSpaceDN/>
        <w:bidi w:val="0"/>
        <w:spacing w:line="560" w:lineRule="exact"/>
        <w:ind w:firstLine="604"/>
      </w:pPr>
      <w:bookmarkStart w:id="264" w:name="_Toc81324089"/>
      <w:r>
        <w:rPr>
          <w:rFonts w:hint="eastAsia"/>
        </w:rPr>
        <w:t>（1）公文签收</w:t>
      </w:r>
      <w:bookmarkEnd w:id="264"/>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公文签收是指将从发文单位，通过网络发来的电子公文或是手工发送来的纸质公文，接收下来形成属于本单位的收文文件。</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签收电子文件可依据纸质文件，也可在收到纸质文件之前签收电子文件。对于需要严格依据电子文件辅助手工管理的单位，应以纸质文件的有关数据为准，并逐件清点。例如：是否收到足够的份数，如发现问题，应该及时向发文机关查询，并采取相应的处理措施。为了分清责任，所有缓急的公文签收都应注明签收的具体时间。在签收模块设计中，除包含有文件的自动签收功能以外，还包括对分发文件的回执签收功能。</w:t>
      </w:r>
    </w:p>
    <w:p>
      <w:pPr>
        <w:kinsoku/>
        <w:wordWrap/>
        <w:topLinePunct w:val="0"/>
        <w:autoSpaceDE/>
        <w:autoSpaceDN/>
        <w:bidi w:val="0"/>
        <w:spacing w:line="560" w:lineRule="exact"/>
        <w:ind w:firstLine="604"/>
      </w:pPr>
      <w:bookmarkStart w:id="265" w:name="_Toc81324090"/>
      <w:r>
        <w:rPr>
          <w:rFonts w:hint="eastAsia"/>
        </w:rPr>
        <w:t>（2）收文登记</w:t>
      </w:r>
      <w:bookmarkEnd w:id="265"/>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用于完成外来电子公文的自动登记或者手工登记；发文分送之后自动触发签收单后可点击分办按钮进行自动登记；单位角色中将“收文登记”角色分配给相应人员，可通过公文管理二级菜单的“收文登记”来进行手工登记。</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进入新建收文界面或者自动进行分办后弹出新建收文单界面，自动调用系统设置的默认收文单，</w:t>
      </w:r>
      <w:r>
        <w:rPr>
          <w:rFonts w:hint="eastAsia" w:ascii="方正仿宋_GBK" w:hAnsi="方正仿宋_GBK"/>
          <w:snapToGrid w:val="0"/>
          <w:lang w:eastAsia="zh-CN"/>
        </w:rPr>
        <w:t>此外</w:t>
      </w:r>
      <w:r>
        <w:rPr>
          <w:rFonts w:hint="eastAsia" w:ascii="方正仿宋_GBK" w:hAnsi="方正仿宋_GBK"/>
          <w:snapToGrid w:val="0"/>
        </w:rPr>
        <w:t>还可以选择后台已经设置好的其他收文单。分办后自动登记弹出的收文界面。</w:t>
      </w:r>
    </w:p>
    <w:p>
      <w:pPr>
        <w:numPr>
          <w:ilvl w:val="0"/>
          <w:numId w:val="75"/>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支持直接调用已经建立好的收文模板。</w:t>
      </w:r>
    </w:p>
    <w:p>
      <w:pPr>
        <w:numPr>
          <w:ilvl w:val="0"/>
          <w:numId w:val="75"/>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支持图形的方式查看流程，可以允许直接进行流程的建立。</w:t>
      </w:r>
    </w:p>
    <w:p>
      <w:pPr>
        <w:numPr>
          <w:ilvl w:val="0"/>
          <w:numId w:val="75"/>
        </w:numPr>
        <w:kinsoku/>
        <w:wordWrap/>
        <w:topLinePunct w:val="0"/>
        <w:autoSpaceDE/>
        <w:autoSpaceDN/>
        <w:bidi w:val="0"/>
        <w:spacing w:line="560" w:lineRule="exact"/>
        <w:ind w:firstLine="604"/>
        <w:rPr>
          <w:rFonts w:ascii="Times New Roman" w:hAnsi="Times New Roman"/>
          <w:snapToGrid w:val="0"/>
        </w:rPr>
      </w:pPr>
      <w:r>
        <w:rPr>
          <w:rFonts w:hint="eastAsia" w:ascii="Times New Roman" w:hAnsi="Times New Roman"/>
          <w:snapToGrid w:val="0"/>
        </w:rPr>
        <w:t>支持上传</w:t>
      </w:r>
      <w:r>
        <w:rPr>
          <w:rFonts w:hint="eastAsia" w:ascii="方正仿宋_GBK" w:hAnsi="方正仿宋_GBK"/>
          <w:snapToGrid w:val="0"/>
        </w:rPr>
        <w:t>公文</w:t>
      </w:r>
      <w:r>
        <w:rPr>
          <w:rFonts w:hint="eastAsia" w:ascii="Times New Roman" w:hAnsi="Times New Roman"/>
          <w:snapToGrid w:val="0"/>
        </w:rPr>
        <w:t>中要处理的附加文件，支持本地文件和关联文档两种方式的插入。</w:t>
      </w:r>
    </w:p>
    <w:p>
      <w:pPr>
        <w:numPr>
          <w:ilvl w:val="0"/>
          <w:numId w:val="75"/>
        </w:numPr>
        <w:kinsoku/>
        <w:wordWrap/>
        <w:topLinePunct w:val="0"/>
        <w:autoSpaceDE/>
        <w:autoSpaceDN/>
        <w:bidi w:val="0"/>
        <w:spacing w:line="560" w:lineRule="exact"/>
        <w:ind w:firstLine="604"/>
        <w:rPr>
          <w:rFonts w:ascii="Times New Roman" w:hAnsi="Times New Roman"/>
          <w:snapToGrid w:val="0"/>
        </w:rPr>
      </w:pPr>
      <w:r>
        <w:rPr>
          <w:rFonts w:hint="eastAsia" w:ascii="Times New Roman" w:hAnsi="Times New Roman"/>
          <w:snapToGrid w:val="0"/>
        </w:rPr>
        <w:t>支持选择正文的格式，包括标准正文、Word正文、Excel正文、WPS文字、WPS表格和PDF正文，其中Word正文和Excel正文需要客户端安装Office软件，WPS文字和WPS表格需要客户端安装WPS软件。</w:t>
      </w:r>
    </w:p>
    <w:p>
      <w:pPr>
        <w:numPr>
          <w:ilvl w:val="0"/>
          <w:numId w:val="75"/>
        </w:numPr>
        <w:kinsoku/>
        <w:wordWrap/>
        <w:topLinePunct w:val="0"/>
        <w:autoSpaceDE/>
        <w:autoSpaceDN/>
        <w:bidi w:val="0"/>
        <w:spacing w:line="560" w:lineRule="exact"/>
        <w:ind w:firstLine="604"/>
        <w:rPr>
          <w:rFonts w:ascii="Times New Roman" w:hAnsi="Times New Roman"/>
          <w:snapToGrid w:val="0"/>
        </w:rPr>
      </w:pPr>
      <w:r>
        <w:rPr>
          <w:rFonts w:hint="eastAsia" w:ascii="Times New Roman" w:hAnsi="Times New Roman"/>
          <w:snapToGrid w:val="0"/>
        </w:rPr>
        <w:t>支持登记二维码需要用到的手持终端，默认安装在客户端电脑的Com1口【请关注使用手册】，如果未装在Com1口上，无法用手持终端读取二维码进行收文登记。手持终端安装好后，从“二维码扫描”入口进入扫描页面，即可进行扫描。</w:t>
      </w:r>
    </w:p>
    <w:p>
      <w:pPr>
        <w:numPr>
          <w:ilvl w:val="0"/>
          <w:numId w:val="75"/>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可选择公文收文文号或手工输入文号。</w:t>
      </w:r>
    </w:p>
    <w:p>
      <w:pPr>
        <w:numPr>
          <w:ilvl w:val="0"/>
          <w:numId w:val="75"/>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支持发起者添加附言，流程中节点处理人可以看到所增加的附言。</w:t>
      </w:r>
    </w:p>
    <w:p>
      <w:pPr>
        <w:numPr>
          <w:ilvl w:val="0"/>
          <w:numId w:val="75"/>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支持将编辑好的收文存为模板后，方便下次调用。</w:t>
      </w:r>
    </w:p>
    <w:p>
      <w:pPr>
        <w:numPr>
          <w:ilvl w:val="0"/>
          <w:numId w:val="75"/>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支持对公文的流程期限进行设置。</w:t>
      </w:r>
    </w:p>
    <w:p>
      <w:pPr>
        <w:numPr>
          <w:ilvl w:val="0"/>
          <w:numId w:val="75"/>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支持流程期限到期之前对公文进行提前提醒时间的设置。</w:t>
      </w:r>
    </w:p>
    <w:p>
      <w:pPr>
        <w:numPr>
          <w:ilvl w:val="0"/>
          <w:numId w:val="75"/>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可对跟踪人员进行选择。</w:t>
      </w:r>
    </w:p>
    <w:p>
      <w:pPr>
        <w:numPr>
          <w:ilvl w:val="0"/>
          <w:numId w:val="75"/>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支持预归档：选择将该公文归档到有写入权限的文档，发送之后该公文可归档到指定目录。</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二维码收文登记：</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在发文管理中，二维码除在拟文节点不可以套之外，</w:t>
      </w:r>
      <w:r>
        <w:rPr>
          <w:rFonts w:hint="eastAsia" w:ascii="方正仿宋_GBK" w:hAnsi="方正仿宋_GBK"/>
          <w:snapToGrid w:val="0"/>
          <w:lang w:eastAsia="zh-CN"/>
        </w:rPr>
        <w:t>其他</w:t>
      </w:r>
      <w:r>
        <w:rPr>
          <w:rFonts w:hint="eastAsia" w:ascii="方正仿宋_GBK" w:hAnsi="方正仿宋_GBK"/>
          <w:snapToGrid w:val="0"/>
        </w:rPr>
        <w:t>任何节点均可以在Word正文中套二维码。</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通过二维码手持终端对具备二维码的纸质（电子）公文扫描，进入收文登记。</w:t>
      </w:r>
    </w:p>
    <w:p>
      <w:pPr>
        <w:kinsoku/>
        <w:wordWrap/>
        <w:topLinePunct w:val="0"/>
        <w:autoSpaceDE/>
        <w:autoSpaceDN/>
        <w:bidi w:val="0"/>
        <w:spacing w:line="560" w:lineRule="exact"/>
        <w:ind w:firstLine="604"/>
      </w:pPr>
      <w:bookmarkStart w:id="266" w:name="_Toc81324092"/>
      <w:r>
        <w:rPr>
          <w:rFonts w:hint="eastAsia"/>
        </w:rPr>
        <w:t>（3）办件</w:t>
      </w:r>
      <w:bookmarkEnd w:id="266"/>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办公人员对所需要办理的公文提出办理意见，并将公文传送给相关的领导人进行批示，也可以进行公文督办的设置</w:t>
      </w:r>
      <w:r>
        <w:rPr>
          <w:rFonts w:hint="eastAsia" w:ascii="方正仿宋_GBK" w:hAnsi="方正仿宋_GBK"/>
          <w:snapToGrid w:val="0"/>
          <w:lang w:eastAsia="zh-CN"/>
        </w:rPr>
        <w:t>，</w:t>
      </w:r>
      <w:r>
        <w:rPr>
          <w:rFonts w:hint="eastAsia" w:ascii="方正仿宋_GBK" w:hAnsi="方正仿宋_GBK"/>
          <w:snapToGrid w:val="0"/>
        </w:rPr>
        <w:t>并可支持打印公文处理单供领导批示。</w:t>
      </w:r>
    </w:p>
    <w:p>
      <w:pPr>
        <w:kinsoku/>
        <w:wordWrap/>
        <w:topLinePunct w:val="0"/>
        <w:autoSpaceDE/>
        <w:autoSpaceDN/>
        <w:bidi w:val="0"/>
        <w:spacing w:line="560" w:lineRule="exact"/>
        <w:ind w:firstLine="604"/>
      </w:pPr>
      <w:bookmarkStart w:id="267" w:name="_Toc81324093"/>
      <w:r>
        <w:rPr>
          <w:rFonts w:hint="eastAsia"/>
        </w:rPr>
        <w:t>（4）阅件</w:t>
      </w:r>
      <w:bookmarkEnd w:id="267"/>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办公室首先定义传阅文件以及需要传阅的有关领导人，并通过网络将文件送达需要阅知或批示文件的领导人。传阅方式可以采取横向和纵向两种，任何一种方式下都可以随时掌握公文去向，避免漏传、误传和延误。如果不以文件实物（份数）为依据时，可以采取不计份数方式，所有需要阅知或批示文件的领导人，可以同时得到电子公文信息。</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传阅处理按照传阅文件夹方式进行管理，一个传阅文件夹（用户可根据文件内容自行定义）包含有若干份文件，同时也包含有此文件夹应该传阅的领导或者单位。传阅文件夹分为正在传阅的文件夹和未开始传阅的文件夹，正在传阅的文件夹包含已经阅知或批示的领导或部门、未阅知或批示的领导或部门、正在阅知或批示的领导或部门等信息。日常传阅处理工作中，传阅的顺序是可调整的，办公系统传阅处理中传阅的顺序也是可调整的，正在阅知或批示的领导或部门在阅知或批示完文件后，可以优化收文节点流程，单独将批示页送至具体承办单位。系统支持根据传阅的顺序进行传阅，也可以自动选择顺序，甚至退回到文秘部门，由文秘部门按照领导批示往下继续传阅。</w:t>
      </w:r>
    </w:p>
    <w:p>
      <w:pPr>
        <w:kinsoku/>
        <w:wordWrap/>
        <w:topLinePunct w:val="0"/>
        <w:autoSpaceDE/>
        <w:autoSpaceDN/>
        <w:bidi w:val="0"/>
        <w:spacing w:line="560" w:lineRule="exact"/>
        <w:ind w:firstLine="604"/>
      </w:pPr>
      <w:bookmarkStart w:id="268" w:name="_Toc81324094"/>
      <w:r>
        <w:rPr>
          <w:rFonts w:hint="eastAsia"/>
        </w:rPr>
        <w:t>（5）回退分办</w:t>
      </w:r>
      <w:bookmarkEnd w:id="268"/>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收文办理过程中，领导觉得此文不应该由本单位办理，需要回退给来文单位。承办人员回退给分办人，分办人回退给签收人，由签收人回退来文单位。</w:t>
      </w:r>
    </w:p>
    <w:p>
      <w:pPr>
        <w:kinsoku/>
        <w:wordWrap/>
        <w:topLinePunct w:val="0"/>
        <w:autoSpaceDE/>
        <w:autoSpaceDN/>
        <w:bidi w:val="0"/>
        <w:spacing w:line="560" w:lineRule="exact"/>
        <w:ind w:firstLine="604"/>
      </w:pPr>
      <w:bookmarkStart w:id="269" w:name="_Toc81324091"/>
      <w:bookmarkStart w:id="270" w:name="_Toc81324096"/>
      <w:bookmarkStart w:id="271" w:name="_Toc83212682"/>
      <w:r>
        <w:rPr>
          <w:rFonts w:hint="eastAsia"/>
        </w:rPr>
        <w:t>（6）收文管理</w:t>
      </w:r>
      <w:bookmarkEnd w:id="269"/>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收文管理区分待办、待阅、已办、在办以及已办结等公文状态进行管理，并可对来文进行显示、排序、查询、统计、打印，对要求办理的文件进行全自动跟踪、监督和记录。</w:t>
      </w:r>
    </w:p>
    <w:p>
      <w:pPr>
        <w:kinsoku/>
        <w:wordWrap/>
        <w:topLinePunct w:val="0"/>
        <w:autoSpaceDE/>
        <w:autoSpaceDN/>
        <w:bidi w:val="0"/>
        <w:spacing w:line="560" w:lineRule="exact"/>
        <w:ind w:firstLine="604"/>
      </w:pPr>
      <w:r>
        <w:rPr>
          <w:rFonts w:hint="eastAsia"/>
        </w:rPr>
        <w:t>（7）转发文</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公文管理员登录系统后，可以在公文管理——公文应用设置——公文开关界面，设置本单位的转发文策略。转发文对权限的限制要求是未开启开关时，所有收文都可以；开启转发文开关后，通过权限控制。</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只有收文才能转发文，发文和交换不能转发文。待办公文中的全部、待办、待阅以及新分类、已办公文中的全部、在办、已办结以及新分类、收文管理中的待办、待阅、已办、在办以及已办结中有转发文按钮，如下图所示，可对收文进行转发文操作。</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【新发文关联收文】可以在新发文中可通过【原收文流程】按钮来查看原收文流程。</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【收文关联新发文】可以在原收文中通过【转发文流程】按钮来查看转发文流程。</w:t>
      </w:r>
    </w:p>
    <w:p>
      <w:pPr>
        <w:kinsoku/>
        <w:wordWrap/>
        <w:topLinePunct w:val="0"/>
        <w:autoSpaceDE/>
        <w:autoSpaceDN/>
        <w:bidi w:val="0"/>
        <w:spacing w:line="560" w:lineRule="exact"/>
        <w:ind w:firstLine="606"/>
        <w:rPr>
          <w:b/>
          <w:bCs/>
        </w:rPr>
      </w:pPr>
      <w:r>
        <w:rPr>
          <w:rFonts w:hint="eastAsia"/>
          <w:b/>
          <w:bCs/>
        </w:rPr>
        <w:t>5.公文交换</w:t>
      </w:r>
      <w:bookmarkEnd w:id="270"/>
      <w:bookmarkEnd w:id="271"/>
    </w:p>
    <w:p>
      <w:pPr>
        <w:numPr>
          <w:ilvl w:val="0"/>
          <w:numId w:val="76"/>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公文交换用于完成向主送、抄送、抄报单位发送公文，以及接收单位对外来公文的签收，并提供自动回执信息。此外，还可以回退公文、补发公文。</w:t>
      </w:r>
    </w:p>
    <w:p>
      <w:pPr>
        <w:numPr>
          <w:ilvl w:val="0"/>
          <w:numId w:val="76"/>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通过统一的安全信息交换中心，实现公文的发送与接收，完成上下级单位之间、平级单位之间的公文交换。按照公文电子存储与交换要求，支持国家版式文件格式OFD文件的交换和存储。</w:t>
      </w:r>
    </w:p>
    <w:p>
      <w:pPr>
        <w:numPr>
          <w:ilvl w:val="0"/>
          <w:numId w:val="76"/>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单位管理员跨单位授权签收流程，被授权单位的签收流程授权被清空，通过发文触发跨单位授权的签收流程，签收流程节点权限读取授权单位设置的交换节点权限。</w:t>
      </w:r>
    </w:p>
    <w:p>
      <w:pPr>
        <w:numPr>
          <w:ilvl w:val="0"/>
          <w:numId w:val="76"/>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新增菜单资源“公文交换”，显示分送、签收、回退数据；分送列表的显示需要授权角色：单位公文送文员或部门公文送文员，分送列表统一管理本人待分送和已分送的公文数据；签收列表的显示需要授权角色：单位公文收文员或部门公文收文员，签收列表统一管理本人待签收和已签收的公文数据；回退列表的显示需要授权角色：收文退件，回退列表统一管理本单位进行回退的签收流程。</w:t>
      </w:r>
    </w:p>
    <w:p>
      <w:pPr>
        <w:kinsoku/>
        <w:wordWrap/>
        <w:topLinePunct w:val="0"/>
        <w:autoSpaceDE/>
        <w:autoSpaceDN/>
        <w:bidi w:val="0"/>
        <w:spacing w:line="560" w:lineRule="exact"/>
        <w:ind w:firstLine="606"/>
        <w:rPr>
          <w:b/>
          <w:bCs/>
        </w:rPr>
      </w:pPr>
      <w:bookmarkStart w:id="272" w:name="_Toc83212683"/>
      <w:bookmarkStart w:id="273" w:name="_Toc81324097"/>
      <w:r>
        <w:rPr>
          <w:rFonts w:hint="eastAsia"/>
          <w:b/>
          <w:bCs/>
        </w:rPr>
        <w:t>6.公文查询</w:t>
      </w:r>
      <w:bookmarkEnd w:id="272"/>
      <w:bookmarkEnd w:id="273"/>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公文查询实现发文、收文和签报的条件查询、文单查询、公文办理情况查询，并提供相应的统计报表和打印等功能。系统提供专业、强大、快速的文档检索功能，提供丰富的组合检索条件，支持模糊查询，检索范围覆盖静态网页和存储在数据库的文档，检索结果与用户权限相结合。支持查询处于不同状态下的公文，查询条件多样，符合各类查找要求。支持穿透查看，可查看查询结果中的具体公文，支持查询结果Excel导出。</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文单查询按照公文单的查询设置对公文进行条件查询，查询的结果可以进行转发事务，打印，导出等操作。</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公文办理情况中预置单位公文办理情况和领导意见查询，查询的结果可以进行转发事务，打印。</w:t>
      </w:r>
    </w:p>
    <w:p>
      <w:pPr>
        <w:kinsoku/>
        <w:wordWrap/>
        <w:topLinePunct w:val="0"/>
        <w:autoSpaceDE/>
        <w:autoSpaceDN/>
        <w:bidi w:val="0"/>
        <w:spacing w:line="560" w:lineRule="exact"/>
        <w:ind w:firstLine="606"/>
        <w:rPr>
          <w:b/>
          <w:bCs/>
        </w:rPr>
      </w:pPr>
      <w:bookmarkStart w:id="274" w:name="_Toc83212684"/>
      <w:bookmarkStart w:id="275" w:name="_Toc81324098"/>
      <w:r>
        <w:rPr>
          <w:rFonts w:hint="eastAsia"/>
          <w:b/>
          <w:bCs/>
        </w:rPr>
        <w:t>7.公文统计</w:t>
      </w:r>
      <w:bookmarkEnd w:id="274"/>
      <w:bookmarkEnd w:id="275"/>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获得授权的用户可统计其权限范围内的公文，提供了按发起部门、按公文类型对设定时段内的收文、发文和签报文的数量进行统计，统计结果提供打印功能。还可以进行交换统计、工作统计、文档统计、办理效率进行统计。在整个公文统计的界面中，还提供了发文登记簿和收文登记簿，记录了所有流程结束、封发或交换过的、流程中余下的均为知会节点的公文，满足应用场景的需求。提供发文登记簿和收文登记簿，记录公文信息，支持发文登记簿和收文登记簿的穿透查看。支持将统计的数据导出为Excel文件或打印。</w:t>
      </w:r>
    </w:p>
    <w:p>
      <w:pPr>
        <w:kinsoku/>
        <w:wordWrap/>
        <w:topLinePunct w:val="0"/>
        <w:autoSpaceDE/>
        <w:autoSpaceDN/>
        <w:bidi w:val="0"/>
        <w:spacing w:line="560" w:lineRule="exact"/>
        <w:ind w:firstLine="606"/>
        <w:rPr>
          <w:b/>
          <w:bCs/>
        </w:rPr>
      </w:pPr>
      <w:bookmarkStart w:id="276" w:name="_Toc81324099"/>
      <w:bookmarkStart w:id="277" w:name="_Toc83212685"/>
      <w:r>
        <w:rPr>
          <w:rFonts w:hint="eastAsia"/>
          <w:b/>
          <w:bCs/>
        </w:rPr>
        <w:t>8.公文督办</w:t>
      </w:r>
      <w:bookmarkEnd w:id="276"/>
      <w:bookmarkEnd w:id="277"/>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公文督办支持预先设定公文督办人，督办人员可对办理过程进行监督和督办，并对逾期的公文做催办处理，可以调整办理人员或跳过办理节点。</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公文督办功能，可以</w:t>
      </w:r>
      <w:r>
        <w:rPr>
          <w:rFonts w:hint="eastAsia" w:ascii="方正仿宋_GBK" w:hAnsi="方正仿宋_GBK"/>
          <w:snapToGrid w:val="0"/>
          <w:lang w:eastAsia="zh-CN"/>
        </w:rPr>
        <w:t>清晰地查看</w:t>
      </w:r>
      <w:r>
        <w:rPr>
          <w:rFonts w:hint="eastAsia" w:ascii="方正仿宋_GBK" w:hAnsi="方正仿宋_GBK"/>
          <w:snapToGrid w:val="0"/>
        </w:rPr>
        <w:t>到未办结、已办结、回退公文的记录，并可以对已回退公文进行撤销，继续进行审批流程。</w:t>
      </w:r>
    </w:p>
    <w:p>
      <w:pPr>
        <w:kinsoku/>
        <w:wordWrap/>
        <w:topLinePunct w:val="0"/>
        <w:autoSpaceDE/>
        <w:autoSpaceDN/>
        <w:bidi w:val="0"/>
        <w:spacing w:line="560" w:lineRule="exact"/>
        <w:ind w:firstLine="606"/>
        <w:rPr>
          <w:b/>
          <w:bCs/>
        </w:rPr>
      </w:pPr>
      <w:bookmarkStart w:id="278" w:name="_Toc83212686"/>
      <w:bookmarkStart w:id="279" w:name="_Toc81324100"/>
      <w:r>
        <w:rPr>
          <w:rFonts w:hint="eastAsia"/>
          <w:b/>
          <w:bCs/>
        </w:rPr>
        <w:t>9.公文归档</w:t>
      </w:r>
      <w:bookmarkEnd w:id="278"/>
      <w:bookmarkEnd w:id="279"/>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公文归档支持：支持预归档（拟文、纸质收文登记、公文模板设置时）、公文处理后归档、列表归档（已发公文、已办公文）、允许用户选择归档路径、归档的公文可借阅、公文档案夹可实现共享等。</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公文归档场景：</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（1）发文拟文（收文登记）选择预归档</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具有公文拟文或收文登记权限人员在发文时，可以选择预归档目录。</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（2）设置公文模板的预归档</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单位管理员或公文管理员登录系统，进入公文应用设置-发文单（收文单）-应用绑定，新建发文（收文）模板，设置预归档目录。</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（3）公文处理后归档</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普通用户打开待办公文，勾选处理后归档，即可选择归档路径。</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（4）已发公文归档</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公文发起人可以在已发公文下将公文归档到有权限的文档夹下。</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（5）已办公文归档</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当前处理人的节点权限有“处理后归档”策略才可以在已办公文下将公文归档到有权限的文档夹下。</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（6）公文档案夹可以实现跨单位共享</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公文档案库管理员登录系统，进入文档管理/文档库管理，可以对需要共享的文件和文件夹进行共享操作。共享的文档库受共享人控制，可设置被共享单位是否允许修改、写入或订阅等。</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（7）归档的公文借阅给外单位</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公文档案库管理员登录系统，进入文档管理/文档库管理，进行借阅操作。借阅的公文受借阅人控制，可设置被借阅单位是否查看流程，保存正文和打印等。</w:t>
      </w:r>
    </w:p>
    <w:p>
      <w:pPr>
        <w:kinsoku/>
        <w:wordWrap/>
        <w:topLinePunct w:val="0"/>
        <w:autoSpaceDE/>
        <w:autoSpaceDN/>
        <w:bidi w:val="0"/>
        <w:spacing w:line="560" w:lineRule="exact"/>
        <w:ind w:firstLine="606"/>
        <w:rPr>
          <w:b/>
          <w:bCs/>
        </w:rPr>
      </w:pPr>
      <w:r>
        <w:rPr>
          <w:rFonts w:hint="eastAsia"/>
          <w:b/>
          <w:bCs/>
        </w:rPr>
        <w:t>10.其他功能</w:t>
      </w:r>
    </w:p>
    <w:p>
      <w:pPr>
        <w:kinsoku/>
        <w:wordWrap/>
        <w:topLinePunct w:val="0"/>
        <w:autoSpaceDE/>
        <w:autoSpaceDN/>
        <w:bidi w:val="0"/>
        <w:spacing w:line="560" w:lineRule="exact"/>
        <w:ind w:firstLine="604"/>
      </w:pPr>
      <w:bookmarkStart w:id="280" w:name="_Toc81324128"/>
      <w:r>
        <w:rPr>
          <w:rFonts w:hint="eastAsia"/>
        </w:rPr>
        <w:t>（1）WPS转OFD</w:t>
      </w:r>
      <w:bookmarkEnd w:id="280"/>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此功能属于插件，需要购买此插件然后部署转版服务，才能正常使用；【word转PDF】策略和【WPS转OFD】策略可以在同一节点进行操作，暂存待办或提交后，会分别生成PDF正文和OFD正文。在分送时，OFD正文的优先级高于PDF正文，签收节点收到的正文是OFD正文。</w:t>
      </w:r>
    </w:p>
    <w:p>
      <w:pPr>
        <w:kinsoku/>
        <w:wordWrap/>
        <w:topLinePunct w:val="0"/>
        <w:autoSpaceDE/>
        <w:autoSpaceDN/>
        <w:bidi w:val="0"/>
        <w:spacing w:line="560" w:lineRule="exact"/>
        <w:ind w:firstLine="604"/>
      </w:pPr>
      <w:bookmarkStart w:id="281" w:name="_Toc81324121"/>
      <w:r>
        <w:rPr>
          <w:rFonts w:hint="eastAsia"/>
        </w:rPr>
        <w:t>（2）多人并发处理</w:t>
      </w:r>
      <w:bookmarkEnd w:id="281"/>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多人执行可并发处理的执行模式，提高处理效率。</w:t>
      </w:r>
    </w:p>
    <w:p>
      <w:pPr>
        <w:kinsoku/>
        <w:wordWrap/>
        <w:topLinePunct w:val="0"/>
        <w:autoSpaceDE/>
        <w:autoSpaceDN/>
        <w:bidi w:val="0"/>
        <w:spacing w:line="560" w:lineRule="exact"/>
        <w:ind w:firstLine="604"/>
      </w:pPr>
      <w:bookmarkStart w:id="282" w:name="_Toc81324126"/>
      <w:bookmarkStart w:id="283" w:name="_Toc33615197"/>
      <w:r>
        <w:rPr>
          <w:rFonts w:hint="eastAsia"/>
        </w:rPr>
        <w:t>（3）授权签批</w:t>
      </w:r>
      <w:bookmarkEnd w:id="282"/>
      <w:bookmarkEnd w:id="283"/>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当用户在某段时间无法处理工作时，可以选择其他人代理自己处理，并可以指定授权终止时间，到期系统自动回收授权。授权处理事务有明显的“代处理”状态提示。</w:t>
      </w:r>
    </w:p>
    <w:p>
      <w:pPr>
        <w:kinsoku/>
        <w:wordWrap/>
        <w:topLinePunct w:val="0"/>
        <w:autoSpaceDE/>
        <w:autoSpaceDN/>
        <w:bidi w:val="0"/>
        <w:spacing w:line="560" w:lineRule="exact"/>
        <w:ind w:firstLine="604"/>
      </w:pPr>
      <w:bookmarkStart w:id="284" w:name="_Toc81324130"/>
      <w:bookmarkStart w:id="285" w:name="_Toc33615203"/>
      <w:r>
        <w:rPr>
          <w:rFonts w:hint="eastAsia"/>
        </w:rPr>
        <w:t>（4）二元化流程</w:t>
      </w:r>
      <w:bookmarkEnd w:id="284"/>
      <w:bookmarkEnd w:id="285"/>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公文流程采用二元化工作流，既可以采用固定流程，也可以在流转过程中自定义流程或修改已设定的流程。</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通过平台建立的全面审批机制，实现全面的办公审批、业务审批，实现制度的落地，规范流程审批，提升流程审批效率和质量以及上下级单位之间的审批运转和协作沟通。</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a.自由审批流程</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由发起人自主发起并设定的发送流程，进行流转审批。</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b.固定审批流程</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遵循工作制度和要求，在固定流程中，发起人填写数据，按照已设定的固定流程进行审批流转。</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系统提供固化流程，遵循企业单位工作体系和流程固定发起的审批机制，后台配置流程模板时，可以设置对节点权限的处理说明及流程的使用说明，发起人填写数据时可查看处理说明及流程说明。</w:t>
      </w:r>
    </w:p>
    <w:p>
      <w:pPr>
        <w:kinsoku/>
        <w:wordWrap/>
        <w:topLinePunct w:val="0"/>
        <w:autoSpaceDE/>
        <w:autoSpaceDN/>
        <w:bidi w:val="0"/>
        <w:spacing w:line="560" w:lineRule="exact"/>
        <w:ind w:firstLine="604"/>
      </w:pPr>
      <w:bookmarkStart w:id="286" w:name="_Toc81324116"/>
      <w:r>
        <w:rPr>
          <w:rFonts w:hint="eastAsia"/>
        </w:rPr>
        <w:t>（5）下载本地打印</w:t>
      </w:r>
      <w:bookmarkEnd w:id="286"/>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直接在网页打印，文档存在失真现象，下载到本地可以调整</w:t>
      </w:r>
      <w:r>
        <w:rPr>
          <w:rFonts w:hint="eastAsia" w:ascii="方正仿宋_GBK" w:hAnsi="方正仿宋_GBK"/>
          <w:snapToGrid w:val="0"/>
          <w:lang w:eastAsia="zh-CN"/>
        </w:rPr>
        <w:t>文档</w:t>
      </w:r>
      <w:r>
        <w:rPr>
          <w:rFonts w:hint="eastAsia" w:ascii="方正仿宋_GBK" w:hAnsi="方正仿宋_GBK"/>
          <w:snapToGrid w:val="0"/>
        </w:rPr>
        <w:t>格式，使打印更美观。</w:t>
      </w:r>
    </w:p>
    <w:p>
      <w:pPr>
        <w:kinsoku/>
        <w:wordWrap/>
        <w:topLinePunct w:val="0"/>
        <w:autoSpaceDE/>
        <w:autoSpaceDN/>
        <w:bidi w:val="0"/>
        <w:spacing w:line="560" w:lineRule="exact"/>
        <w:ind w:firstLine="604"/>
      </w:pPr>
      <w:bookmarkStart w:id="287" w:name="_Toc81324131"/>
      <w:r>
        <w:rPr>
          <w:rFonts w:hint="eastAsia"/>
        </w:rPr>
        <w:t>（6）流程图</w:t>
      </w:r>
      <w:bookmarkEnd w:id="287"/>
      <w:r>
        <w:rPr>
          <w:rFonts w:hint="eastAsia"/>
        </w:rPr>
        <w:t>查看</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提供可视化的流程编辑，查看流程图时，可以直接对流程图复制、泳道图展示、查看、下载等，方便用户使用。</w:t>
      </w:r>
    </w:p>
    <w:p>
      <w:pPr>
        <w:pStyle w:val="8"/>
        <w:kinsoku/>
        <w:wordWrap/>
        <w:topLinePunct w:val="0"/>
        <w:autoSpaceDE/>
        <w:autoSpaceDN/>
        <w:bidi w:val="0"/>
        <w:spacing w:before="198" w:after="198" w:line="560" w:lineRule="exact"/>
      </w:pPr>
      <w:r>
        <w:rPr>
          <w:rFonts w:hint="eastAsia"/>
        </w:rPr>
        <w:t>会议管理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基于企业会议的重要性，会议管理系统要具备适用于各级企业组织协调各类型会议，</w:t>
      </w:r>
      <w:r>
        <w:rPr>
          <w:rFonts w:hint="eastAsia" w:ascii="方正仿宋_GBK" w:hAnsi="方正仿宋_GBK"/>
          <w:snapToGrid w:val="0"/>
          <w:lang w:val="en-US" w:eastAsia="zh-CN"/>
        </w:rPr>
        <w:t>包括重要的股东会、董事会、监事会“三会”管理。</w:t>
      </w:r>
      <w:r>
        <w:rPr>
          <w:rFonts w:hint="eastAsia" w:ascii="方正仿宋_GBK" w:hAnsi="方正仿宋_GBK"/>
          <w:snapToGrid w:val="0"/>
        </w:rPr>
        <w:t>实现从议题收集，会议方案报批，发布通知及回执，会议资源管理，到下发会议纪要，会后督办落实，覆盖企业办会全流程场景。</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围绕会前、会中、会后的全业务场景设计的业务功能，主要体现：</w:t>
      </w:r>
    </w:p>
    <w:p>
      <w:pPr>
        <w:kinsoku/>
        <w:wordWrap/>
        <w:topLinePunct w:val="0"/>
        <w:autoSpaceDE/>
        <w:autoSpaceDN/>
        <w:bidi w:val="0"/>
        <w:spacing w:line="560" w:lineRule="exact"/>
        <w:ind w:firstLine="604"/>
        <w:rPr>
          <w:rFonts w:ascii="Times New Roman" w:hAnsi="Times New Roman"/>
          <w:snapToGrid w:val="0"/>
        </w:rPr>
      </w:pPr>
      <w:r>
        <w:rPr>
          <w:rFonts w:hint="eastAsia" w:ascii="Times New Roman" w:hAnsi="Times New Roman"/>
          <w:snapToGrid w:val="0"/>
        </w:rPr>
        <w:t>会前：议题管理、会议方案申请、会前通知、回执统计、会议室排座、会议资源申请、会议资料上传等；</w:t>
      </w:r>
    </w:p>
    <w:p>
      <w:pPr>
        <w:kinsoku/>
        <w:wordWrap/>
        <w:topLinePunct w:val="0"/>
        <w:autoSpaceDE/>
        <w:autoSpaceDN/>
        <w:bidi w:val="0"/>
        <w:spacing w:line="560" w:lineRule="exact"/>
        <w:ind w:firstLine="604"/>
        <w:rPr>
          <w:rFonts w:ascii="Times New Roman" w:hAnsi="Times New Roman"/>
          <w:snapToGrid w:val="0"/>
        </w:rPr>
      </w:pPr>
      <w:r>
        <w:rPr>
          <w:rFonts w:hint="eastAsia" w:ascii="Times New Roman" w:hAnsi="Times New Roman"/>
          <w:snapToGrid w:val="0"/>
        </w:rPr>
        <w:t>会中：会议签到、会议资料控制、投票表决、会议指引屏显示、会议看板等；</w:t>
      </w:r>
    </w:p>
    <w:p>
      <w:pPr>
        <w:kinsoku/>
        <w:wordWrap/>
        <w:topLinePunct w:val="0"/>
        <w:autoSpaceDE/>
        <w:autoSpaceDN/>
        <w:bidi w:val="0"/>
        <w:spacing w:line="560" w:lineRule="exact"/>
        <w:ind w:firstLine="604"/>
        <w:rPr>
          <w:rFonts w:ascii="Times New Roman" w:hAnsi="Times New Roman"/>
          <w:snapToGrid w:val="0"/>
        </w:rPr>
      </w:pPr>
      <w:r>
        <w:rPr>
          <w:rFonts w:hint="eastAsia" w:ascii="Times New Roman" w:hAnsi="Times New Roman"/>
          <w:snapToGrid w:val="0"/>
        </w:rPr>
        <w:t>会后：会议纪要编写、转公文审批发布，会议议定事项转督办等。</w:t>
      </w:r>
    </w:p>
    <w:p>
      <w:pPr>
        <w:kinsoku/>
        <w:wordWrap/>
        <w:topLinePunct w:val="0"/>
        <w:autoSpaceDE/>
        <w:autoSpaceDN/>
        <w:bidi w:val="0"/>
        <w:spacing w:line="560" w:lineRule="exact"/>
        <w:ind w:firstLine="606"/>
        <w:rPr>
          <w:b/>
          <w:bCs/>
        </w:rPr>
      </w:pPr>
      <w:bookmarkStart w:id="288" w:name="_Toc78903678"/>
      <w:bookmarkStart w:id="289" w:name="_Toc83212718"/>
      <w:r>
        <w:rPr>
          <w:rFonts w:hint="eastAsia"/>
          <w:b/>
          <w:bCs/>
        </w:rPr>
        <w:t>1.会议常用组织架构</w:t>
      </w:r>
      <w:bookmarkEnd w:id="288"/>
      <w:bookmarkEnd w:id="289"/>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某些常规性会议参会人员中有一部分是固定人员，则可以在多维组织架构里建立一个会议的专用组织架构，以便复用。</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在会议管理系统后台管理中，会议模块管理人员有权限对常规性会议的固定参会人员建立组织架构，比如出席领导、列席人员、列席单位、编外人员等等。</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建立会议专用组织架构，提高会议选择与会人的效率，可以对常规固定参会人员进行系统性的管理。</w:t>
      </w:r>
    </w:p>
    <w:p>
      <w:pPr>
        <w:kinsoku/>
        <w:wordWrap/>
        <w:topLinePunct w:val="0"/>
        <w:autoSpaceDE/>
        <w:autoSpaceDN/>
        <w:bidi w:val="0"/>
        <w:spacing w:line="560" w:lineRule="exact"/>
        <w:ind w:firstLine="606"/>
        <w:rPr>
          <w:b/>
          <w:bCs/>
        </w:rPr>
      </w:pPr>
      <w:r>
        <w:rPr>
          <w:rFonts w:hint="eastAsia"/>
          <w:b/>
          <w:bCs/>
        </w:rPr>
        <w:t>2.会议室管理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会议室管理，主要是针对会议室的座位平面布局设计，座位编号，座位排座、会议室申请等进行管理。</w:t>
      </w:r>
    </w:p>
    <w:p>
      <w:pPr>
        <w:kinsoku/>
        <w:wordWrap/>
        <w:topLinePunct w:val="0"/>
        <w:autoSpaceDE/>
        <w:autoSpaceDN/>
        <w:bidi w:val="0"/>
        <w:spacing w:line="560" w:lineRule="exact"/>
        <w:ind w:firstLine="604"/>
      </w:pPr>
      <w:bookmarkStart w:id="290" w:name="_Toc78903693"/>
      <w:r>
        <w:rPr>
          <w:rFonts w:hint="eastAsia"/>
        </w:rPr>
        <w:t>（1）基础信息管理</w:t>
      </w:r>
      <w:bookmarkEnd w:id="290"/>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通过会议室登记新建属于自己的会议室，并可以设置使用权限；</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会议室平面图布局目前标准支持3种平面图形布局：椭圆形、方形、U型；其他平面图形状可根据客户需求项目化开发；</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可以设置该会议室的布局和座位编号并保存，以便复用；</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支持座位编号方式按照顺序编号和空一位编号；</w:t>
      </w:r>
    </w:p>
    <w:p>
      <w:pPr>
        <w:kinsoku/>
        <w:wordWrap/>
        <w:topLinePunct w:val="0"/>
        <w:autoSpaceDE/>
        <w:autoSpaceDN/>
        <w:bidi w:val="0"/>
        <w:spacing w:line="560" w:lineRule="exact"/>
        <w:ind w:firstLine="604"/>
        <w:rPr>
          <w:rFonts w:hint="eastAsia" w:ascii="方正仿宋_GBK" w:hAnsi="方正仿宋_GBK" w:eastAsia="方正仿宋_GBK"/>
          <w:snapToGrid w:val="0"/>
          <w:lang w:eastAsia="zh-CN"/>
        </w:rPr>
      </w:pPr>
      <w:r>
        <w:rPr>
          <w:rFonts w:hint="eastAsia" w:ascii="方正仿宋_GBK" w:hAnsi="方正仿宋_GBK"/>
          <w:snapToGrid w:val="0"/>
        </w:rPr>
        <w:t>会议室按照所有人和会议室名称进行统计</w:t>
      </w:r>
      <w:r>
        <w:rPr>
          <w:rFonts w:hint="eastAsia" w:ascii="方正仿宋_GBK" w:hAnsi="方正仿宋_GBK"/>
          <w:snapToGrid w:val="0"/>
          <w:lang w:eastAsia="zh-CN"/>
        </w:rPr>
        <w:t>。</w:t>
      </w:r>
    </w:p>
    <w:p>
      <w:pPr>
        <w:kinsoku/>
        <w:wordWrap/>
        <w:topLinePunct w:val="0"/>
        <w:autoSpaceDE/>
        <w:autoSpaceDN/>
        <w:bidi w:val="0"/>
        <w:spacing w:line="560" w:lineRule="exact"/>
        <w:ind w:firstLine="604"/>
      </w:pPr>
      <w:bookmarkStart w:id="291" w:name="_Toc78903694"/>
      <w:r>
        <w:rPr>
          <w:rFonts w:hint="eastAsia"/>
        </w:rPr>
        <w:t>（2）会议排座</w:t>
      </w:r>
      <w:bookmarkEnd w:id="291"/>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越是重要会议，与会</w:t>
      </w:r>
      <w:r>
        <w:rPr>
          <w:rFonts w:hint="eastAsia" w:ascii="方正仿宋_GBK" w:hAnsi="方正仿宋_GBK"/>
          <w:snapToGrid w:val="0"/>
          <w:lang w:eastAsia="zh-CN"/>
        </w:rPr>
        <w:t>人员</w:t>
      </w:r>
      <w:r>
        <w:rPr>
          <w:rFonts w:hint="eastAsia" w:ascii="方正仿宋_GBK" w:hAnsi="方正仿宋_GBK"/>
          <w:snapToGrid w:val="0"/>
        </w:rPr>
        <w:t>的座次尤为重要，排错、漏排往往会带来很严重的后果，而议题多、与会人数多、与会人职级差异、人员变动等的会议，造成会务人员排座出错率会更高。</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目前会议室排座有两种方式：一是手动排座，人员单位群组列表支持手动拖拽到会议室图片中指定的位置，从左边的列表拉入图中之后，列表栏自动消失该选择，也可以从右边将数据重新拖入列表栏。二是自动排座，点击自动排序，将与会人员自动落入在座位编号中，不合适的可以手动调整。</w:t>
      </w:r>
    </w:p>
    <w:p>
      <w:pPr>
        <w:kinsoku/>
        <w:wordWrap/>
        <w:topLinePunct w:val="0"/>
        <w:autoSpaceDE/>
        <w:autoSpaceDN/>
        <w:bidi w:val="0"/>
        <w:spacing w:line="560" w:lineRule="exact"/>
        <w:ind w:firstLine="604"/>
      </w:pPr>
      <w:bookmarkStart w:id="292" w:name="_Toc78903695"/>
      <w:r>
        <w:rPr>
          <w:rFonts w:hint="eastAsia"/>
        </w:rPr>
        <w:t>（3）会议室申请</w:t>
      </w:r>
      <w:bookmarkEnd w:id="292"/>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发起会议通知时可以图形化调阅会议时间会议室使用情况，确定并申请适合的会议室。</w:t>
      </w:r>
    </w:p>
    <w:p>
      <w:pPr>
        <w:numPr>
          <w:ilvl w:val="0"/>
          <w:numId w:val="77"/>
        </w:numPr>
        <w:kinsoku/>
        <w:wordWrap/>
        <w:topLinePunct w:val="0"/>
        <w:autoSpaceDE/>
        <w:autoSpaceDN/>
        <w:bidi w:val="0"/>
        <w:spacing w:line="560" w:lineRule="exact"/>
        <w:ind w:left="0" w:firstLine="604"/>
      </w:pPr>
      <w:r>
        <w:rPr>
          <w:rFonts w:hint="eastAsia"/>
        </w:rPr>
        <w:t>发起会议时，可以在会议地点一栏选择需要申请的会议室；</w:t>
      </w:r>
    </w:p>
    <w:p>
      <w:pPr>
        <w:numPr>
          <w:ilvl w:val="0"/>
          <w:numId w:val="77"/>
        </w:numPr>
        <w:kinsoku/>
        <w:wordWrap/>
        <w:topLinePunct w:val="0"/>
        <w:autoSpaceDE/>
        <w:autoSpaceDN/>
        <w:bidi w:val="0"/>
        <w:spacing w:line="560" w:lineRule="exact"/>
        <w:ind w:left="0" w:firstLine="604"/>
      </w:pPr>
      <w:r>
        <w:rPr>
          <w:rFonts w:hint="eastAsia"/>
        </w:rPr>
        <w:t>图形化会议室选择可通过时间轴拖拽的方式选定会议时间；</w:t>
      </w:r>
    </w:p>
    <w:p>
      <w:pPr>
        <w:numPr>
          <w:ilvl w:val="0"/>
          <w:numId w:val="77"/>
        </w:numPr>
        <w:kinsoku/>
        <w:wordWrap/>
        <w:topLinePunct w:val="0"/>
        <w:autoSpaceDE/>
        <w:autoSpaceDN/>
        <w:bidi w:val="0"/>
        <w:spacing w:line="560" w:lineRule="exact"/>
        <w:ind w:left="0" w:firstLine="604"/>
      </w:pPr>
      <w:r>
        <w:rPr>
          <w:rFonts w:hint="eastAsia"/>
        </w:rPr>
        <w:t>可预览会议室的当前状态：已占用、待审核、已审核分别用三种颜色区分；</w:t>
      </w:r>
    </w:p>
    <w:p>
      <w:pPr>
        <w:numPr>
          <w:ilvl w:val="0"/>
          <w:numId w:val="77"/>
        </w:numPr>
        <w:kinsoku/>
        <w:wordWrap/>
        <w:topLinePunct w:val="0"/>
        <w:autoSpaceDE/>
        <w:autoSpaceDN/>
        <w:bidi w:val="0"/>
        <w:spacing w:line="560" w:lineRule="exact"/>
        <w:ind w:left="0" w:firstLine="604"/>
      </w:pPr>
      <w:r>
        <w:rPr>
          <w:rFonts w:hint="eastAsia"/>
        </w:rPr>
        <w:t>部分会议室需要审批的，将有审批页面。</w:t>
      </w:r>
    </w:p>
    <w:p>
      <w:pPr>
        <w:kinsoku/>
        <w:wordWrap/>
        <w:topLinePunct w:val="0"/>
        <w:autoSpaceDE/>
        <w:autoSpaceDN/>
        <w:bidi w:val="0"/>
        <w:spacing w:line="560" w:lineRule="exact"/>
        <w:ind w:firstLine="606"/>
        <w:rPr>
          <w:b/>
          <w:bCs/>
        </w:rPr>
      </w:pPr>
      <w:bookmarkStart w:id="293" w:name="_Toc83212721"/>
      <w:bookmarkStart w:id="294" w:name="_Toc78903686"/>
      <w:r>
        <w:rPr>
          <w:rFonts w:hint="eastAsia"/>
          <w:b/>
          <w:bCs/>
        </w:rPr>
        <w:t>3.会议通知</w:t>
      </w:r>
      <w:bookmarkEnd w:id="293"/>
      <w:bookmarkEnd w:id="294"/>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会议方案审核通过后，办公室会管人员进入会议通知-发起通知页面，填写通知单，通知单可关联本次会议已审核通过的会议方案表单。点击关联会议方案图标，弹出会议方案列表，选择方案确定后，相关字段将自动带入通知单。依次经过各级领导审批同意后，</w:t>
      </w:r>
      <w:r>
        <w:rPr>
          <w:rFonts w:hint="eastAsia" w:ascii="方正仿宋_GBK" w:hAnsi="方正仿宋_GBK"/>
          <w:snapToGrid w:val="0"/>
          <w:lang w:eastAsia="zh-CN"/>
        </w:rPr>
        <w:t>送达</w:t>
      </w:r>
      <w:r>
        <w:rPr>
          <w:rFonts w:hint="eastAsia" w:ascii="方正仿宋_GBK" w:hAnsi="方正仿宋_GBK"/>
          <w:snapToGrid w:val="0"/>
        </w:rPr>
        <w:t>参会单位，由参会单位联络员回执参会人员名单反馈至相关人员。</w:t>
      </w:r>
    </w:p>
    <w:p>
      <w:pPr>
        <w:kinsoku/>
        <w:wordWrap/>
        <w:topLinePunct w:val="0"/>
        <w:autoSpaceDE/>
        <w:autoSpaceDN/>
        <w:bidi w:val="0"/>
        <w:spacing w:line="560" w:lineRule="exact"/>
        <w:ind w:firstLine="604"/>
      </w:pPr>
      <w:bookmarkStart w:id="295" w:name="_Toc78903687"/>
      <w:r>
        <w:rPr>
          <w:rFonts w:hint="eastAsia"/>
        </w:rPr>
        <w:t>（1）通知发起</w:t>
      </w:r>
      <w:bookmarkEnd w:id="295"/>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选择【会议通知】进入【起草通知】新建页面，点击关联图标可关联审批通过的会议方案。将自动读取会议方案的各类字段，包括会议的基本信息、会议内容等等。带领导审批后方可发送会议通知。</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普通会议可以直接发起会议通知，填写会议的基本信息、参会人员、会议内容等。</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支持公文转会议，事务转会议功能。</w:t>
      </w:r>
    </w:p>
    <w:p>
      <w:pPr>
        <w:kinsoku/>
        <w:wordWrap/>
        <w:topLinePunct w:val="0"/>
        <w:autoSpaceDE/>
        <w:autoSpaceDN/>
        <w:bidi w:val="0"/>
        <w:spacing w:line="560" w:lineRule="exact"/>
        <w:ind w:firstLine="604"/>
      </w:pPr>
      <w:bookmarkStart w:id="296" w:name="_Toc78903691"/>
      <w:r>
        <w:rPr>
          <w:rFonts w:hint="eastAsia"/>
        </w:rPr>
        <w:t>（2）消息通知</w:t>
      </w:r>
      <w:bookmarkEnd w:id="296"/>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会议通知成功发出后，邀请参会的人员将会收到PC端、移动端、以及集成手机短信的会议通知消息，使得邀请与会人员可以及时收到会议通知，并及时回执。</w:t>
      </w:r>
    </w:p>
    <w:p>
      <w:pPr>
        <w:kinsoku/>
        <w:wordWrap/>
        <w:topLinePunct w:val="0"/>
        <w:autoSpaceDE/>
        <w:autoSpaceDN/>
        <w:bidi w:val="0"/>
        <w:spacing w:line="560" w:lineRule="exact"/>
        <w:ind w:firstLine="604"/>
      </w:pPr>
      <w:bookmarkStart w:id="297" w:name="_Toc78903688"/>
      <w:r>
        <w:rPr>
          <w:rFonts w:hint="eastAsia"/>
        </w:rPr>
        <w:t>（3）会议回执</w:t>
      </w:r>
      <w:bookmarkEnd w:id="297"/>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与会人收到会议通知时，可以回执是否参加会议。会议联络员可以对单位内多人参会情况进行回执。</w:t>
      </w:r>
    </w:p>
    <w:p>
      <w:pPr>
        <w:kinsoku/>
        <w:wordWrap/>
        <w:topLinePunct w:val="0"/>
        <w:autoSpaceDE/>
        <w:autoSpaceDN/>
        <w:bidi w:val="0"/>
        <w:spacing w:line="560" w:lineRule="exact"/>
        <w:ind w:firstLine="604"/>
      </w:pPr>
      <w:bookmarkStart w:id="298" w:name="_Toc78903689"/>
      <w:r>
        <w:rPr>
          <w:rFonts w:hint="eastAsia"/>
        </w:rPr>
        <w:t>（4）回执统计</w:t>
      </w:r>
      <w:bookmarkEnd w:id="298"/>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会务人员可以在后台对会议的回执情况进行查看，回执数据实时统计。还可以对未回执人员发送消息提醒。</w:t>
      </w:r>
    </w:p>
    <w:p>
      <w:pPr>
        <w:kinsoku/>
        <w:wordWrap/>
        <w:topLinePunct w:val="0"/>
        <w:autoSpaceDE/>
        <w:autoSpaceDN/>
        <w:bidi w:val="0"/>
        <w:spacing w:line="560" w:lineRule="exact"/>
        <w:ind w:firstLine="606"/>
        <w:rPr>
          <w:b/>
          <w:bCs/>
        </w:rPr>
      </w:pPr>
      <w:bookmarkStart w:id="299" w:name="_Toc83212725"/>
      <w:bookmarkStart w:id="300" w:name="_Toc78903698"/>
      <w:r>
        <w:rPr>
          <w:rFonts w:hint="eastAsia"/>
          <w:b/>
          <w:bCs/>
        </w:rPr>
        <w:t>4.会议签到</w:t>
      </w:r>
      <w:bookmarkEnd w:id="299"/>
      <w:bookmarkEnd w:id="300"/>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会议签到作为正式开会的一个开端，是保证会议顺利召开的一个关键环节，与传统纸质签到相比，信息化需要解决与会人员签到便捷性，领导随时查看关注，减少领导再次询问，会务人员汇报等环节，同时杜绝忘签、代签、补签的情况。</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候会指引屏中针对每一议题生成二维码，参会人员微信扫码签到。签到信息实时同步至会议主持人和会议秘书的与会情况中。签到人数统计也实时统计并显示在会议室指引屏上。</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内部人员签到，使用移动端进行扫码签到，外部邀请人员参会使用微信扫码填写单位信息签到。</w:t>
      </w:r>
    </w:p>
    <w:p>
      <w:pPr>
        <w:kinsoku/>
        <w:wordWrap/>
        <w:topLinePunct w:val="0"/>
        <w:autoSpaceDE/>
        <w:autoSpaceDN/>
        <w:bidi w:val="0"/>
        <w:spacing w:line="560" w:lineRule="exact"/>
        <w:ind w:firstLine="606"/>
        <w:rPr>
          <w:b/>
          <w:bCs/>
        </w:rPr>
      </w:pPr>
      <w:bookmarkStart w:id="301" w:name="_Toc78903699"/>
      <w:bookmarkStart w:id="302" w:name="_Toc83212726"/>
      <w:r>
        <w:rPr>
          <w:rFonts w:hint="eastAsia"/>
          <w:b/>
          <w:bCs/>
        </w:rPr>
        <w:t>5.会议资料管理</w:t>
      </w:r>
      <w:bookmarkEnd w:id="301"/>
      <w:bookmarkEnd w:id="302"/>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会议资料打印、分装、分发是个关键且复杂的工作环节，若遇到开会过程中，会议资料需要更新，更是让会务工作难上加难；对于与会人员，厚厚一叠会议资料，检索查找非常不便，影响会议决策效率；而会后纸质资料安全问题也不容忽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会议管理系统设计有会议资料在线管理模块，对会议资料进行统一管理。支持会议资料在线分发、在线阅读；支持会议相关公文、事务关联查看；支持在线管理；权限管理。提升资料安全性，减少会议成本。</w:t>
      </w:r>
    </w:p>
    <w:p>
      <w:pPr>
        <w:kinsoku/>
        <w:wordWrap/>
        <w:topLinePunct w:val="0"/>
        <w:autoSpaceDE/>
        <w:autoSpaceDN/>
        <w:bidi w:val="0"/>
        <w:spacing w:line="560" w:lineRule="exact"/>
        <w:ind w:firstLine="606"/>
        <w:rPr>
          <w:b/>
          <w:bCs/>
        </w:rPr>
      </w:pPr>
      <w:bookmarkStart w:id="303" w:name="_Toc83212728"/>
      <w:bookmarkStart w:id="304" w:name="_Toc78903701"/>
      <w:r>
        <w:rPr>
          <w:rFonts w:hint="eastAsia"/>
          <w:b/>
          <w:bCs/>
        </w:rPr>
        <w:t>6.投票表决</w:t>
      </w:r>
      <w:bookmarkEnd w:id="303"/>
      <w:bookmarkEnd w:id="304"/>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会务人员在后台预设投票表决的议题，在议题讨论结束后可开启投票表决，可设置多个表决项，与会</w:t>
      </w:r>
      <w:r>
        <w:rPr>
          <w:rFonts w:hint="eastAsia" w:ascii="方正仿宋_GBK" w:hAnsi="方正仿宋_GBK"/>
          <w:snapToGrid w:val="0"/>
          <w:lang w:eastAsia="zh-CN"/>
        </w:rPr>
        <w:t>人员</w:t>
      </w:r>
      <w:r>
        <w:rPr>
          <w:rFonts w:hint="eastAsia" w:ascii="方正仿宋_GBK" w:hAnsi="方正仿宋_GBK"/>
          <w:snapToGrid w:val="0"/>
        </w:rPr>
        <w:t>可以进行投票表决，并对表决理由可做简单描述，表决结束后投标结果可以实时查看。</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投票表决支持实名或匿名方式；支持自定义投票和多选投票；支持设置多个表决项，如设置多个人名作为选举项；与会</w:t>
      </w:r>
      <w:r>
        <w:rPr>
          <w:rFonts w:hint="eastAsia" w:ascii="方正仿宋_GBK" w:hAnsi="方正仿宋_GBK"/>
          <w:snapToGrid w:val="0"/>
          <w:lang w:eastAsia="zh-CN"/>
        </w:rPr>
        <w:t>人员</w:t>
      </w:r>
      <w:r>
        <w:rPr>
          <w:rFonts w:hint="eastAsia" w:ascii="方正仿宋_GBK" w:hAnsi="方正仿宋_GBK"/>
          <w:snapToGrid w:val="0"/>
        </w:rPr>
        <w:t>投票表决时可以填写投票理由；当会议需要投票表决时，会议主持人可直接启动表决；表决结果支持实时统计。</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通过投票表决功能，可以实现实时投票，实时统计投票结果，节省了会议议程时间，提高了会议效率。</w:t>
      </w:r>
    </w:p>
    <w:p>
      <w:pPr>
        <w:kinsoku/>
        <w:wordWrap/>
        <w:topLinePunct w:val="0"/>
        <w:autoSpaceDE/>
        <w:autoSpaceDN/>
        <w:bidi w:val="0"/>
        <w:spacing w:line="560" w:lineRule="exact"/>
        <w:ind w:firstLine="606"/>
        <w:rPr>
          <w:b/>
          <w:bCs/>
        </w:rPr>
      </w:pPr>
      <w:bookmarkStart w:id="305" w:name="_Toc78903702"/>
      <w:bookmarkStart w:id="306" w:name="_Toc83212729"/>
      <w:r>
        <w:rPr>
          <w:rFonts w:hint="eastAsia"/>
          <w:b/>
          <w:bCs/>
        </w:rPr>
        <w:t>7.会议纪要</w:t>
      </w:r>
      <w:bookmarkEnd w:id="305"/>
      <w:bookmarkEnd w:id="306"/>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会议纪要，本来就是记载和传达会议情况和议定事项的载体，它只在行政机关内部运转，对下级行政机关处理具体事务提供指导和依据。企业部门的会议纪要</w:t>
      </w:r>
      <w:r>
        <w:rPr>
          <w:rFonts w:hint="eastAsia" w:ascii="方正仿宋_GBK" w:hAnsi="方正仿宋_GBK"/>
          <w:snapToGrid w:val="0"/>
          <w:lang w:eastAsia="zh-CN"/>
        </w:rPr>
        <w:t>，</w:t>
      </w:r>
      <w:r>
        <w:rPr>
          <w:rFonts w:hint="eastAsia" w:ascii="方正仿宋_GBK" w:hAnsi="方正仿宋_GBK"/>
          <w:snapToGrid w:val="0"/>
        </w:rPr>
        <w:t>一般包括会议内容、议定事项等信息。</w:t>
      </w:r>
    </w:p>
    <w:p>
      <w:pPr>
        <w:kinsoku/>
        <w:wordWrap/>
        <w:topLinePunct w:val="0"/>
        <w:autoSpaceDE/>
        <w:autoSpaceDN/>
        <w:bidi w:val="0"/>
        <w:spacing w:line="560" w:lineRule="exact"/>
        <w:ind w:firstLine="604"/>
      </w:pPr>
      <w:bookmarkStart w:id="307" w:name="_Toc78903703"/>
      <w:r>
        <w:rPr>
          <w:rFonts w:hint="eastAsia"/>
        </w:rPr>
        <w:t>（1）起草纪要</w:t>
      </w:r>
      <w:bookmarkEnd w:id="307"/>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议结束后，办公室会管人员发起会议纪要，报送给各级领导审批后发送到各级单位。</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会议纪要支持：</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自动带入实际与会人员信息，减少手工录入；</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支持多类型纪要格式：office/txt；</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定时消息提醒，避免遗忘；</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纪要审批流程自定义；</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会议纪要统一菜单入口，会议详情同步显示，便于会务人员/与会领导查看。</w:t>
      </w:r>
    </w:p>
    <w:p>
      <w:pPr>
        <w:kinsoku/>
        <w:wordWrap/>
        <w:topLinePunct w:val="0"/>
        <w:autoSpaceDE/>
        <w:autoSpaceDN/>
        <w:bidi w:val="0"/>
        <w:spacing w:line="560" w:lineRule="exact"/>
        <w:ind w:firstLine="604"/>
      </w:pPr>
      <w:bookmarkStart w:id="308" w:name="_Toc78903704"/>
      <w:r>
        <w:rPr>
          <w:rFonts w:hint="eastAsia"/>
        </w:rPr>
        <w:t>（2）纪要审核</w:t>
      </w:r>
      <w:bookmarkEnd w:id="308"/>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会议纪要审批流程依次为申请部门领导、（副）秘书长、领导等，相关领导在处理页面选择意见“同意”、“不同意”，填写批示意见，并提交到下一节点办理人处理。</w:t>
      </w:r>
    </w:p>
    <w:p>
      <w:pPr>
        <w:kinsoku/>
        <w:wordWrap/>
        <w:topLinePunct w:val="0"/>
        <w:autoSpaceDE/>
        <w:autoSpaceDN/>
        <w:bidi w:val="0"/>
        <w:spacing w:line="560" w:lineRule="exact"/>
        <w:ind w:firstLine="604"/>
      </w:pPr>
      <w:bookmarkStart w:id="309" w:name="_Toc78903705"/>
      <w:r>
        <w:rPr>
          <w:rFonts w:hint="eastAsia"/>
        </w:rPr>
        <w:t>（3）纪要发布</w:t>
      </w:r>
      <w:bookmarkEnd w:id="309"/>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会议纪要审核通过后，可通过公文的形式由相关人员发送至相关单位，也可通过转公告或新闻操作，公示全单位。</w:t>
      </w:r>
    </w:p>
    <w:p>
      <w:pPr>
        <w:kinsoku/>
        <w:wordWrap/>
        <w:topLinePunct w:val="0"/>
        <w:autoSpaceDE/>
        <w:autoSpaceDN/>
        <w:bidi w:val="0"/>
        <w:spacing w:line="560" w:lineRule="exact"/>
        <w:ind w:firstLine="604"/>
      </w:pPr>
      <w:bookmarkStart w:id="310" w:name="_Toc83212732"/>
      <w:bookmarkStart w:id="311" w:name="_Toc78903708"/>
      <w:r>
        <w:rPr>
          <w:rFonts w:hint="eastAsia"/>
        </w:rPr>
        <w:t>（4）查询统计</w:t>
      </w:r>
      <w:bookmarkEnd w:id="310"/>
      <w:bookmarkEnd w:id="311"/>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查询统计可按会议类型、会议期次、会议标题、会议召开时间区间、主持人、会议地点、发起部门、发起人、审批领导等字段查询统计。</w:t>
      </w:r>
    </w:p>
    <w:p>
      <w:pPr>
        <w:kinsoku/>
        <w:wordWrap/>
        <w:topLinePunct w:val="0"/>
        <w:autoSpaceDE/>
        <w:autoSpaceDN/>
        <w:bidi w:val="0"/>
        <w:spacing w:line="560" w:lineRule="exact"/>
        <w:ind w:firstLine="604"/>
      </w:pPr>
      <w:bookmarkStart w:id="312" w:name="_Toc78903707"/>
      <w:bookmarkStart w:id="313" w:name="_Toc83212731"/>
      <w:r>
        <w:rPr>
          <w:rFonts w:hint="eastAsia"/>
        </w:rPr>
        <w:t>（5）会议归档</w:t>
      </w:r>
      <w:bookmarkEnd w:id="312"/>
      <w:bookmarkEnd w:id="313"/>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系统可以对已召开的会议进行分类归档，形成会议类的文档资料存贮在单位内部制定的位置，方便对会议信息及会议相关资料进行管理。</w:t>
      </w:r>
    </w:p>
    <w:p>
      <w:pPr>
        <w:kinsoku/>
        <w:wordWrap/>
        <w:topLinePunct w:val="0"/>
        <w:autoSpaceDE/>
        <w:autoSpaceDN/>
        <w:bidi w:val="0"/>
        <w:spacing w:line="560" w:lineRule="exact"/>
        <w:ind w:firstLine="606"/>
        <w:rPr>
          <w:b/>
          <w:bCs/>
        </w:rPr>
      </w:pPr>
      <w:bookmarkStart w:id="314" w:name="_Toc78903720"/>
      <w:bookmarkStart w:id="315" w:name="_Toc83212734"/>
      <w:r>
        <w:rPr>
          <w:rFonts w:hint="eastAsia"/>
          <w:b/>
          <w:bCs/>
        </w:rPr>
        <w:t>8.会议集成</w:t>
      </w:r>
      <w:bookmarkEnd w:id="314"/>
      <w:bookmarkEnd w:id="315"/>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会议管理系统提供标准化、开放性接口，可以实现电子桌牌系统联动，视频会议系统联动，会务结算系统联动，可以对接大屏系统、视频会议系统、无纸化多媒体会议室系统等，集成多方系统联动能力。</w:t>
      </w:r>
    </w:p>
    <w:p>
      <w:pPr>
        <w:kinsoku/>
        <w:wordWrap/>
        <w:topLinePunct w:val="0"/>
        <w:autoSpaceDE/>
        <w:autoSpaceDN/>
        <w:bidi w:val="0"/>
        <w:spacing w:line="560" w:lineRule="exact"/>
        <w:ind w:firstLine="604"/>
      </w:pPr>
      <w:bookmarkStart w:id="316" w:name="_Toc78903721"/>
      <w:r>
        <w:rPr>
          <w:rFonts w:hint="eastAsia"/>
        </w:rPr>
        <w:t>（1）大屏系统集成</w:t>
      </w:r>
      <w:bookmarkEnd w:id="316"/>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会议系统可以与大屏系统集成，将会议的信息推送至会议楼大屏和会议室的指引屏上，并可以对多会议，会议题进行滚动显示。</w:t>
      </w:r>
    </w:p>
    <w:p>
      <w:pPr>
        <w:kinsoku/>
        <w:wordWrap/>
        <w:topLinePunct w:val="0"/>
        <w:autoSpaceDE/>
        <w:autoSpaceDN/>
        <w:bidi w:val="0"/>
        <w:spacing w:line="560" w:lineRule="exact"/>
        <w:ind w:firstLine="604"/>
      </w:pPr>
      <w:bookmarkStart w:id="317" w:name="_Toc78903722"/>
      <w:r>
        <w:rPr>
          <w:rFonts w:hint="eastAsia"/>
        </w:rPr>
        <w:t>（2）视频会议集成</w:t>
      </w:r>
      <w:bookmarkEnd w:id="317"/>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根据中共中央办公厅2019年3月11日印发《关于解决形式主义突出问题为基层减负的通知》的指导，文件提出“提倡合并开会、套开会议，多采用电视电话、网络视频会议等形式，提高会议实效。”</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会议管理系统标准对接国资委视频会议系统，也支持对接视频会议硬件系统。支持通过平台集成的视频会议系统，对接外网专网进行网络视频会议。支持在移动端进行非正式的即时沟通，支持视频、语音、文字多种方式。</w:t>
      </w:r>
    </w:p>
    <w:p>
      <w:pPr>
        <w:pStyle w:val="8"/>
        <w:kinsoku/>
        <w:wordWrap/>
        <w:topLinePunct w:val="0"/>
        <w:autoSpaceDE/>
        <w:autoSpaceDN/>
        <w:bidi w:val="0"/>
        <w:spacing w:before="198" w:after="198" w:line="560" w:lineRule="exact"/>
      </w:pPr>
      <w:r>
        <w:rPr>
          <w:rFonts w:hint="eastAsia"/>
        </w:rPr>
        <w:t>制度管理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通过制度管理规范重庆市农业投资集团有限公司制度建设管理工作，促进集团公司内部控制制度体系建设，对集团公司制度的立项计划、起草、审查、审议、公布、培训、解读、执行监督、清理、汇编等工作进行约束性管理。主要包含以下功能：</w:t>
      </w:r>
    </w:p>
    <w:p>
      <w:pPr>
        <w:kinsoku/>
        <w:wordWrap/>
        <w:topLinePunct w:val="0"/>
        <w:autoSpaceDE/>
        <w:autoSpaceDN/>
        <w:bidi w:val="0"/>
        <w:spacing w:line="560" w:lineRule="exact"/>
        <w:ind w:firstLine="606"/>
        <w:rPr>
          <w:b/>
          <w:bCs/>
        </w:rPr>
      </w:pPr>
      <w:r>
        <w:rPr>
          <w:rFonts w:hint="eastAsia"/>
          <w:b/>
          <w:bCs/>
        </w:rPr>
        <w:t>1</w:t>
      </w:r>
      <w:r>
        <w:rPr>
          <w:b/>
          <w:bCs/>
        </w:rPr>
        <w:t>.</w:t>
      </w:r>
      <w:r>
        <w:rPr>
          <w:rFonts w:hint="eastAsia"/>
          <w:b/>
          <w:bCs/>
        </w:rPr>
        <w:t>立项管理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各部门可制定本部门本年度制度立项计划，经部门分管领导审批同意后提交制度立项管理部门。制度立项管理部门收集各部门制度制定、修改建议及计划后，结合市国资委要求和集团公司实际情况，制作下一年度制度立项计划，包括制度名称、发文主体、必要性、可行性（拟解决问题）、完成时间、责任部门等，并报集团公司董事会审定。</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在下一年度制度立项计划编制过程中，可增加、延迟或取消部分制度计划项目。调整由起草部门提出申请，经分管领导同意，主要领导批准后，抄送制度立项管理部门。支持对立项计划的导出打印功能。</w:t>
      </w:r>
    </w:p>
    <w:p>
      <w:pPr>
        <w:kinsoku/>
        <w:wordWrap/>
        <w:topLinePunct w:val="0"/>
        <w:autoSpaceDE/>
        <w:autoSpaceDN/>
        <w:bidi w:val="0"/>
        <w:spacing w:line="560" w:lineRule="exact"/>
        <w:ind w:firstLine="606"/>
        <w:rPr>
          <w:b/>
          <w:bCs/>
        </w:rPr>
      </w:pPr>
      <w:r>
        <w:rPr>
          <w:rFonts w:hint="eastAsia"/>
          <w:b/>
          <w:bCs/>
        </w:rPr>
        <w:t>2</w:t>
      </w:r>
      <w:r>
        <w:rPr>
          <w:b/>
          <w:bCs/>
        </w:rPr>
        <w:t>.</w:t>
      </w:r>
      <w:r>
        <w:rPr>
          <w:rFonts w:hint="eastAsia"/>
          <w:b/>
          <w:bCs/>
        </w:rPr>
        <w:t>起草管理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制度起草完成后支持起草说明、所依据的法律法规和有关文件、制度送审稿文件、起草过程各方面的主要意见以及其他需要提交材料的上传，以及制度有关基本信息的填写。</w:t>
      </w:r>
    </w:p>
    <w:p>
      <w:pPr>
        <w:kinsoku/>
        <w:wordWrap/>
        <w:topLinePunct w:val="0"/>
        <w:autoSpaceDE/>
        <w:autoSpaceDN/>
        <w:bidi w:val="0"/>
        <w:spacing w:line="560" w:lineRule="exact"/>
        <w:ind w:firstLine="606"/>
        <w:rPr>
          <w:b/>
          <w:bCs/>
        </w:rPr>
      </w:pPr>
      <w:r>
        <w:rPr>
          <w:rFonts w:hint="eastAsia"/>
          <w:b/>
          <w:bCs/>
        </w:rPr>
        <w:t>3</w:t>
      </w:r>
      <w:r>
        <w:rPr>
          <w:b/>
          <w:bCs/>
        </w:rPr>
        <w:t>.</w:t>
      </w:r>
      <w:r>
        <w:rPr>
          <w:rFonts w:hint="eastAsia"/>
          <w:b/>
          <w:bCs/>
        </w:rPr>
        <w:t>审查管理</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结合起草说明、所依据的法律法规和有关文件、送审稿、起草过程各方面的主要意见以及其他需要提交的材料对制度进行合法审查，根据审查结果形成合法/不合法的审查意见或予以修改的审查意见。整改后可再次提请合法审查。</w:t>
      </w:r>
    </w:p>
    <w:p>
      <w:pPr>
        <w:kinsoku/>
        <w:wordWrap/>
        <w:topLinePunct w:val="0"/>
        <w:autoSpaceDE/>
        <w:autoSpaceDN/>
        <w:bidi w:val="0"/>
        <w:spacing w:line="560" w:lineRule="exact"/>
        <w:ind w:firstLine="606"/>
        <w:rPr>
          <w:b/>
          <w:bCs/>
        </w:rPr>
      </w:pPr>
      <w:r>
        <w:rPr>
          <w:rFonts w:hint="eastAsia"/>
          <w:b/>
          <w:bCs/>
        </w:rPr>
        <w:t>4</w:t>
      </w:r>
      <w:r>
        <w:rPr>
          <w:b/>
          <w:bCs/>
        </w:rPr>
        <w:t>.</w:t>
      </w:r>
      <w:r>
        <w:rPr>
          <w:rFonts w:hint="eastAsia"/>
          <w:b/>
          <w:bCs/>
        </w:rPr>
        <w:t>审议发布</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支持将起草说明、合法性审查通过稿提请集团会议审议。经审议通过的制度文件，起草部门根据审议意见进行完善后，报主要领导签发，办公室印发。需上级审批的，报上级审批后发布。需要上级备案的，按有关规定报送备案。</w:t>
      </w:r>
    </w:p>
    <w:p>
      <w:pPr>
        <w:kinsoku/>
        <w:wordWrap/>
        <w:topLinePunct w:val="0"/>
        <w:autoSpaceDE/>
        <w:autoSpaceDN/>
        <w:bidi w:val="0"/>
        <w:spacing w:line="560" w:lineRule="exact"/>
        <w:ind w:firstLine="606"/>
        <w:rPr>
          <w:b/>
          <w:bCs/>
        </w:rPr>
      </w:pPr>
      <w:r>
        <w:rPr>
          <w:rFonts w:hint="eastAsia"/>
          <w:b/>
          <w:bCs/>
        </w:rPr>
        <w:t>5</w:t>
      </w:r>
      <w:r>
        <w:rPr>
          <w:b/>
          <w:bCs/>
        </w:rPr>
        <w:t>.</w:t>
      </w:r>
      <w:r>
        <w:rPr>
          <w:rFonts w:hint="eastAsia"/>
          <w:b/>
          <w:bCs/>
        </w:rPr>
        <w:t>归档管理</w:t>
      </w:r>
    </w:p>
    <w:p>
      <w:pPr>
        <w:kinsoku/>
        <w:wordWrap/>
        <w:topLinePunct w:val="0"/>
        <w:autoSpaceDE/>
        <w:autoSpaceDN/>
        <w:bidi w:val="0"/>
        <w:spacing w:line="560" w:lineRule="exact"/>
        <w:ind w:firstLine="604"/>
        <w:jc w:val="both"/>
        <w:rPr>
          <w:rFonts w:ascii="方正仿宋_GBK" w:hAnsi="方正仿宋_GBK"/>
          <w:snapToGrid w:val="0"/>
        </w:rPr>
      </w:pPr>
      <w:r>
        <w:rPr>
          <w:rFonts w:hint="eastAsia" w:ascii="方正仿宋_GBK" w:hAnsi="方正仿宋_GBK"/>
          <w:snapToGrid w:val="0"/>
        </w:rPr>
        <w:t>支持对制度的编号、登记、归档管理，建立制度管理台账。</w:t>
      </w:r>
    </w:p>
    <w:p>
      <w:pPr>
        <w:pStyle w:val="8"/>
        <w:kinsoku/>
        <w:wordWrap/>
        <w:topLinePunct w:val="0"/>
        <w:autoSpaceDE/>
        <w:autoSpaceDN/>
        <w:bidi w:val="0"/>
        <w:spacing w:before="198" w:after="198" w:line="560" w:lineRule="exact"/>
      </w:pPr>
      <w:r>
        <w:rPr>
          <w:rFonts w:hint="eastAsia"/>
        </w:rPr>
        <w:t>办公用品管理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通过本系统实现对办公用品登记入库，管理员可以对管辖范围内的办公用品信息进行登记、申请、审批、发放等操作。用于使用者对用品领用提出申请。</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功能模块包括：基础设置、用品使用和用品统计。</w:t>
      </w:r>
    </w:p>
    <w:p>
      <w:pPr>
        <w:kinsoku/>
        <w:wordWrap/>
        <w:topLinePunct w:val="0"/>
        <w:autoSpaceDE/>
        <w:autoSpaceDN/>
        <w:bidi w:val="0"/>
        <w:spacing w:line="560" w:lineRule="exact"/>
        <w:ind w:firstLine="606"/>
        <w:rPr>
          <w:b/>
          <w:bCs/>
        </w:rPr>
      </w:pPr>
      <w:bookmarkStart w:id="318" w:name="_Toc65760622"/>
      <w:bookmarkStart w:id="319" w:name="_Toc37427670"/>
      <w:r>
        <w:rPr>
          <w:rFonts w:hint="eastAsia"/>
          <w:b/>
          <w:bCs/>
        </w:rPr>
        <w:t>1.基础设置</w:t>
      </w:r>
      <w:bookmarkEnd w:id="318"/>
      <w:bookmarkEnd w:id="319"/>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办公用品管理的基础设置包含：用品库设置、用品登记、审批流程设置、入库记录4个部分。</w:t>
      </w:r>
    </w:p>
    <w:p>
      <w:pPr>
        <w:kinsoku/>
        <w:wordWrap/>
        <w:topLinePunct w:val="0"/>
        <w:autoSpaceDE/>
        <w:autoSpaceDN/>
        <w:bidi w:val="0"/>
        <w:spacing w:line="560" w:lineRule="exact"/>
        <w:ind w:firstLine="604"/>
      </w:pPr>
      <w:r>
        <w:rPr>
          <w:rFonts w:hint="eastAsia"/>
        </w:rPr>
        <w:t>（1）用品库设置</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可创建用品库，并授权管理员和适用范围，授权的管理员可以发放该库下的用品，授权范围的人员可以申请该库下的用品。</w:t>
      </w:r>
    </w:p>
    <w:p>
      <w:pPr>
        <w:kinsoku/>
        <w:wordWrap/>
        <w:topLinePunct w:val="0"/>
        <w:autoSpaceDE/>
        <w:autoSpaceDN/>
        <w:bidi w:val="0"/>
        <w:spacing w:line="560" w:lineRule="exact"/>
        <w:ind w:firstLine="604"/>
      </w:pPr>
      <w:r>
        <w:rPr>
          <w:rFonts w:hint="eastAsia"/>
        </w:rPr>
        <w:t>（2）用品登记</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点击登记可登记用品，支持批量导入。没有归还的用品，不能删除。入库操作中可以记录用品的入库价格及数量。</w:t>
      </w:r>
    </w:p>
    <w:p>
      <w:pPr>
        <w:kinsoku/>
        <w:wordWrap/>
        <w:topLinePunct w:val="0"/>
        <w:autoSpaceDE/>
        <w:autoSpaceDN/>
        <w:bidi w:val="0"/>
        <w:spacing w:line="560" w:lineRule="exact"/>
        <w:ind w:firstLine="604"/>
      </w:pPr>
      <w:r>
        <w:rPr>
          <w:rFonts w:hint="eastAsia"/>
        </w:rPr>
        <w:t>（3）审批流程设置</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设置申请审批的节点和人员，同车辆的审批流程设置。</w:t>
      </w:r>
    </w:p>
    <w:p>
      <w:pPr>
        <w:kinsoku/>
        <w:wordWrap/>
        <w:topLinePunct w:val="0"/>
        <w:autoSpaceDE/>
        <w:autoSpaceDN/>
        <w:bidi w:val="0"/>
        <w:spacing w:line="560" w:lineRule="exact"/>
        <w:ind w:firstLine="604"/>
      </w:pPr>
      <w:r>
        <w:rPr>
          <w:rFonts w:hint="eastAsia"/>
        </w:rPr>
        <w:t>（4）入库记录</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可查询当前登录人管理的用品库下用品的入库记录，并能导出打印。</w:t>
      </w:r>
    </w:p>
    <w:p>
      <w:pPr>
        <w:kinsoku/>
        <w:wordWrap/>
        <w:topLinePunct w:val="0"/>
        <w:autoSpaceDE/>
        <w:autoSpaceDN/>
        <w:bidi w:val="0"/>
        <w:spacing w:line="560" w:lineRule="exact"/>
        <w:ind w:firstLine="606"/>
        <w:rPr>
          <w:b/>
          <w:bCs/>
        </w:rPr>
      </w:pPr>
      <w:bookmarkStart w:id="320" w:name="_Toc65760623"/>
      <w:bookmarkStart w:id="321" w:name="_Toc37427671"/>
      <w:r>
        <w:rPr>
          <w:rFonts w:hint="eastAsia"/>
          <w:b/>
          <w:bCs/>
        </w:rPr>
        <w:t>2.用品使用</w:t>
      </w:r>
      <w:bookmarkEnd w:id="320"/>
      <w:bookmarkEnd w:id="321"/>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用品使用包含：用品申请、用品审批、用品发放和发放记录。</w:t>
      </w:r>
    </w:p>
    <w:p>
      <w:pPr>
        <w:kinsoku/>
        <w:wordWrap/>
        <w:topLinePunct w:val="0"/>
        <w:autoSpaceDE/>
        <w:autoSpaceDN/>
        <w:bidi w:val="0"/>
        <w:spacing w:line="560" w:lineRule="exact"/>
        <w:ind w:firstLine="604"/>
      </w:pPr>
      <w:r>
        <w:rPr>
          <w:rFonts w:hint="eastAsia"/>
        </w:rPr>
        <w:t>（1）用品申请</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用品申请用于记录所有人员对办公用品的申请记录。点击申请，按要求填写用品申请表即可进入审批流程。</w:t>
      </w:r>
    </w:p>
    <w:p>
      <w:pPr>
        <w:kinsoku/>
        <w:wordWrap/>
        <w:topLinePunct w:val="0"/>
        <w:autoSpaceDE/>
        <w:autoSpaceDN/>
        <w:bidi w:val="0"/>
        <w:spacing w:line="560" w:lineRule="exact"/>
        <w:ind w:firstLine="604"/>
      </w:pPr>
      <w:r>
        <w:rPr>
          <w:rFonts w:hint="eastAsia"/>
        </w:rPr>
        <w:t>（2）用品审批</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提交的申请都会显示在用品审批页签，点击每条记录即可弹出审批框，填写审批意见。</w:t>
      </w:r>
    </w:p>
    <w:p>
      <w:pPr>
        <w:kinsoku/>
        <w:wordWrap/>
        <w:topLinePunct w:val="0"/>
        <w:autoSpaceDE/>
        <w:autoSpaceDN/>
        <w:bidi w:val="0"/>
        <w:spacing w:line="560" w:lineRule="exact"/>
        <w:ind w:firstLine="604"/>
      </w:pPr>
      <w:r>
        <w:rPr>
          <w:rFonts w:hint="eastAsia"/>
        </w:rPr>
        <w:t>（3）用品发放</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用品审批通过的进入用品发放页签，进行发放审批。审批流程更改显示为待发放状态。点击记录可以进入发放审批流程，确认发放。</w:t>
      </w:r>
    </w:p>
    <w:p>
      <w:pPr>
        <w:kinsoku/>
        <w:wordWrap/>
        <w:topLinePunct w:val="0"/>
        <w:autoSpaceDE/>
        <w:autoSpaceDN/>
        <w:bidi w:val="0"/>
        <w:spacing w:line="560" w:lineRule="exact"/>
        <w:ind w:firstLine="604"/>
      </w:pPr>
      <w:r>
        <w:rPr>
          <w:rFonts w:hint="eastAsia"/>
        </w:rPr>
        <w:t>（4）发放记录</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已发放的用品申请进入发放记录，可以进行查询操作。</w:t>
      </w:r>
    </w:p>
    <w:p>
      <w:pPr>
        <w:kinsoku/>
        <w:wordWrap/>
        <w:topLinePunct w:val="0"/>
        <w:autoSpaceDE/>
        <w:autoSpaceDN/>
        <w:bidi w:val="0"/>
        <w:spacing w:line="560" w:lineRule="exact"/>
        <w:ind w:firstLine="606"/>
        <w:rPr>
          <w:b/>
          <w:bCs/>
        </w:rPr>
      </w:pPr>
      <w:bookmarkStart w:id="322" w:name="_Toc65760624"/>
      <w:bookmarkStart w:id="323" w:name="_Toc37427672"/>
      <w:r>
        <w:rPr>
          <w:rFonts w:hint="eastAsia"/>
          <w:b/>
          <w:bCs/>
        </w:rPr>
        <w:t>3.用品统计</w:t>
      </w:r>
      <w:bookmarkEnd w:id="322"/>
      <w:bookmarkEnd w:id="323"/>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用品统计主要有用品总数统计和使用情况统计。</w:t>
      </w:r>
    </w:p>
    <w:p>
      <w:pPr>
        <w:kinsoku/>
        <w:wordWrap/>
        <w:topLinePunct w:val="0"/>
        <w:autoSpaceDE/>
        <w:autoSpaceDN/>
        <w:bidi w:val="0"/>
        <w:spacing w:line="560" w:lineRule="exact"/>
        <w:ind w:firstLine="604"/>
      </w:pPr>
      <w:r>
        <w:rPr>
          <w:rFonts w:hint="eastAsia"/>
        </w:rPr>
        <w:t>（1）用品统计</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按照用品数量进行统计，对总数量、领用的数量、剩余数量进行库存统计。</w:t>
      </w:r>
    </w:p>
    <w:p>
      <w:pPr>
        <w:kinsoku/>
        <w:wordWrap/>
        <w:topLinePunct w:val="0"/>
        <w:autoSpaceDE/>
        <w:autoSpaceDN/>
        <w:bidi w:val="0"/>
        <w:spacing w:line="560" w:lineRule="exact"/>
        <w:ind w:firstLine="604"/>
      </w:pPr>
      <w:r>
        <w:rPr>
          <w:rFonts w:hint="eastAsia"/>
        </w:rPr>
        <w:t>（2）使用统计</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按照部门使用办公用品情况进行统计。</w:t>
      </w:r>
    </w:p>
    <w:p>
      <w:pPr>
        <w:pStyle w:val="8"/>
        <w:kinsoku/>
        <w:wordWrap/>
        <w:topLinePunct w:val="0"/>
        <w:autoSpaceDE/>
        <w:autoSpaceDN/>
        <w:bidi w:val="0"/>
        <w:spacing w:before="198" w:after="198" w:line="560" w:lineRule="exact"/>
      </w:pPr>
      <w:r>
        <w:rPr>
          <w:rFonts w:hint="eastAsia"/>
        </w:rPr>
        <w:t>移动办公</w:t>
      </w:r>
    </w:p>
    <w:p>
      <w:pPr>
        <w:kinsoku/>
        <w:wordWrap/>
        <w:topLinePunct w:val="0"/>
        <w:autoSpaceDE/>
        <w:autoSpaceDN/>
        <w:bidi w:val="0"/>
        <w:spacing w:line="560" w:lineRule="exact"/>
        <w:ind w:firstLine="606"/>
        <w:rPr>
          <w:b/>
          <w:bCs/>
        </w:rPr>
      </w:pPr>
      <w:r>
        <w:rPr>
          <w:rFonts w:hint="eastAsia"/>
          <w:b/>
          <w:bCs/>
        </w:rPr>
        <w:t>1.统一移动工作入口</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面对数字化浪潮和新技术的兴起，从前端营销市场到后端的生产成本，跨部门的业务协作日趋频繁，企业经营管理产生的数据成为核心资产，企业希望通过有效的分析及使用来指导经营决策。</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满足组织内及跨组织的沟通互动，支持扁平化、跨地域、大范围的沟通及业务协作，实现为企业提供统一移动入口、统一身份认证、统一权限管理、统一通知中心等能力的统一门户服务。</w:t>
      </w:r>
    </w:p>
    <w:p>
      <w:pPr>
        <w:kinsoku/>
        <w:wordWrap/>
        <w:topLinePunct w:val="0"/>
        <w:autoSpaceDE/>
        <w:autoSpaceDN/>
        <w:bidi w:val="0"/>
        <w:spacing w:line="560" w:lineRule="exact"/>
        <w:ind w:firstLine="606"/>
        <w:rPr>
          <w:rFonts w:ascii="方正仿宋_GBK" w:hAnsi="方正仿宋_GBK"/>
          <w:b/>
          <w:bCs/>
          <w:snapToGrid w:val="0"/>
        </w:rPr>
      </w:pPr>
      <w:r>
        <w:rPr>
          <w:rFonts w:hint="eastAsia" w:ascii="方正仿宋_GBK" w:hAnsi="方正仿宋_GBK"/>
          <w:b/>
          <w:bCs/>
          <w:snapToGrid w:val="0"/>
        </w:rPr>
        <w:t>（1）统一登录</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lang w:eastAsia="zh-CN"/>
        </w:rPr>
        <w:t>更快速地</w:t>
      </w:r>
      <w:r>
        <w:rPr>
          <w:rFonts w:hint="eastAsia" w:ascii="方正仿宋_GBK" w:hAnsi="方正仿宋_GBK"/>
          <w:snapToGrid w:val="0"/>
        </w:rPr>
        <w:t>登录体验，更灵活的异构系统集成：</w:t>
      </w:r>
    </w:p>
    <w:p>
      <w:pPr>
        <w:numPr>
          <w:ilvl w:val="0"/>
          <w:numId w:val="78"/>
        </w:numPr>
        <w:kinsoku/>
        <w:wordWrap/>
        <w:topLinePunct w:val="0"/>
        <w:autoSpaceDE/>
        <w:autoSpaceDN/>
        <w:bidi w:val="0"/>
        <w:spacing w:line="560" w:lineRule="exact"/>
        <w:ind w:left="0" w:firstLine="604"/>
        <w:rPr>
          <w:rFonts w:ascii="方正仿宋_GBK" w:hAnsi="方正仿宋_GBK"/>
          <w:snapToGrid w:val="0"/>
        </w:rPr>
      </w:pPr>
      <w:r>
        <w:rPr>
          <w:rFonts w:hint="eastAsia" w:ascii="方正仿宋_GBK" w:hAnsi="方正仿宋_GBK"/>
          <w:snapToGrid w:val="0"/>
        </w:rPr>
        <w:t>速扫描服务器二维码添加服务器地址和端口；</w:t>
      </w:r>
    </w:p>
    <w:p>
      <w:pPr>
        <w:numPr>
          <w:ilvl w:val="0"/>
          <w:numId w:val="78"/>
        </w:numPr>
        <w:kinsoku/>
        <w:wordWrap/>
        <w:topLinePunct w:val="0"/>
        <w:autoSpaceDE/>
        <w:autoSpaceDN/>
        <w:bidi w:val="0"/>
        <w:spacing w:line="560" w:lineRule="exact"/>
        <w:ind w:left="0" w:firstLine="604"/>
        <w:rPr>
          <w:rFonts w:ascii="方正仿宋_GBK" w:hAnsi="方正仿宋_GBK"/>
          <w:snapToGrid w:val="0"/>
        </w:rPr>
      </w:pPr>
      <w:r>
        <w:rPr>
          <w:rFonts w:hint="eastAsia" w:ascii="方正仿宋_GBK" w:hAnsi="方正仿宋_GBK"/>
          <w:snapToGrid w:val="0"/>
        </w:rPr>
        <w:t>自动识别http和https维码，私有云部署也有便捷的登录体验；</w:t>
      </w:r>
    </w:p>
    <w:p>
      <w:pPr>
        <w:numPr>
          <w:ilvl w:val="0"/>
          <w:numId w:val="78"/>
        </w:numPr>
        <w:kinsoku/>
        <w:wordWrap/>
        <w:topLinePunct w:val="0"/>
        <w:autoSpaceDE/>
        <w:autoSpaceDN/>
        <w:bidi w:val="0"/>
        <w:spacing w:line="560" w:lineRule="exact"/>
        <w:ind w:left="0" w:firstLine="604"/>
        <w:rPr>
          <w:rFonts w:ascii="方正仿宋_GBK" w:hAnsi="方正仿宋_GBK"/>
          <w:snapToGrid w:val="0"/>
        </w:rPr>
      </w:pPr>
      <w:r>
        <w:rPr>
          <w:rFonts w:hint="eastAsia" w:ascii="方正仿宋_GBK" w:hAnsi="方正仿宋_GBK"/>
          <w:snapToGrid w:val="0"/>
        </w:rPr>
        <w:t>异构系统集成管理可视化配置，支持自动人员映射，多设备终端均可实现单点登录；</w:t>
      </w:r>
    </w:p>
    <w:p>
      <w:pPr>
        <w:numPr>
          <w:ilvl w:val="0"/>
          <w:numId w:val="78"/>
        </w:numPr>
        <w:kinsoku/>
        <w:wordWrap/>
        <w:topLinePunct w:val="0"/>
        <w:autoSpaceDE/>
        <w:autoSpaceDN/>
        <w:bidi w:val="0"/>
        <w:spacing w:line="560" w:lineRule="exact"/>
        <w:ind w:left="0" w:firstLine="604"/>
        <w:rPr>
          <w:rFonts w:ascii="方正仿宋_GBK" w:hAnsi="方正仿宋_GBK"/>
          <w:snapToGrid w:val="0"/>
        </w:rPr>
      </w:pPr>
      <w:r>
        <w:rPr>
          <w:rFonts w:hint="eastAsia" w:ascii="方正仿宋_GBK" w:hAnsi="方正仿宋_GBK"/>
          <w:snapToGrid w:val="0"/>
        </w:rPr>
        <w:t>提供标准认证机制，可应用于第三方自定义认证扩展；</w:t>
      </w:r>
    </w:p>
    <w:p>
      <w:pPr>
        <w:numPr>
          <w:ilvl w:val="0"/>
          <w:numId w:val="78"/>
        </w:numPr>
        <w:kinsoku/>
        <w:wordWrap/>
        <w:topLinePunct w:val="0"/>
        <w:autoSpaceDE/>
        <w:autoSpaceDN/>
        <w:bidi w:val="0"/>
        <w:spacing w:line="560" w:lineRule="exact"/>
        <w:ind w:left="0" w:firstLine="604"/>
        <w:rPr>
          <w:rFonts w:ascii="方正仿宋_GBK" w:hAnsi="方正仿宋_GBK"/>
          <w:snapToGrid w:val="0"/>
        </w:rPr>
      </w:pPr>
      <w:r>
        <w:rPr>
          <w:rFonts w:hint="eastAsia" w:ascii="方正仿宋_GBK" w:hAnsi="方正仿宋_GBK"/>
          <w:snapToGrid w:val="0"/>
        </w:rPr>
        <w:t>支持离线登录，断网情况仍然可以查看移动端中相关数据。</w:t>
      </w:r>
    </w:p>
    <w:p>
      <w:pPr>
        <w:kinsoku/>
        <w:wordWrap/>
        <w:topLinePunct w:val="0"/>
        <w:autoSpaceDE/>
        <w:autoSpaceDN/>
        <w:bidi w:val="0"/>
        <w:spacing w:line="560" w:lineRule="exact"/>
        <w:ind w:firstLine="606"/>
        <w:rPr>
          <w:rFonts w:ascii="方正仿宋_GBK" w:hAnsi="方正仿宋_GBK"/>
          <w:b/>
          <w:bCs/>
          <w:snapToGrid w:val="0"/>
        </w:rPr>
      </w:pPr>
      <w:r>
        <w:rPr>
          <w:rFonts w:hint="eastAsia" w:ascii="方正仿宋_GBK" w:hAnsi="方正仿宋_GBK"/>
          <w:b/>
          <w:bCs/>
          <w:snapToGrid w:val="0"/>
        </w:rPr>
        <w:t>（2）统一组织</w:t>
      </w:r>
    </w:p>
    <w:p>
      <w:pPr>
        <w:numPr>
          <w:ilvl w:val="0"/>
          <w:numId w:val="79"/>
        </w:numPr>
        <w:kinsoku/>
        <w:wordWrap/>
        <w:topLinePunct w:val="0"/>
        <w:autoSpaceDE/>
        <w:autoSpaceDN/>
        <w:bidi w:val="0"/>
        <w:spacing w:line="560" w:lineRule="exact"/>
        <w:ind w:left="0" w:firstLine="604"/>
        <w:rPr>
          <w:rFonts w:ascii="方正仿宋_GBK" w:hAnsi="方正仿宋_GBK"/>
          <w:snapToGrid w:val="0"/>
        </w:rPr>
      </w:pPr>
      <w:r>
        <w:rPr>
          <w:rFonts w:hint="eastAsia" w:ascii="方正仿宋_GBK" w:hAnsi="方正仿宋_GBK"/>
          <w:snapToGrid w:val="0"/>
        </w:rPr>
        <w:t>快速连接企业内部及异构系统用户，实时沟通</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（a）支持通过“行政组织” 查找企业人员；通过“多维组织” 查找跨组织的本业务线人员；通过“项目组”查找跨业务外部人员。</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（b）通过多种途径（姓名、手机号、拼音首字母等）快速定位找人，提升查找效率。</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（c）支持来电识别员工及组织，为手机通讯录“减负”，为业务沟通“提效”。</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（d）支持发协同、发消息、打电话、发短信、发邮件多种沟通方式。</w:t>
      </w:r>
    </w:p>
    <w:p>
      <w:pPr>
        <w:numPr>
          <w:ilvl w:val="0"/>
          <w:numId w:val="79"/>
        </w:numPr>
        <w:kinsoku/>
        <w:wordWrap/>
        <w:topLinePunct w:val="0"/>
        <w:autoSpaceDE/>
        <w:autoSpaceDN/>
        <w:bidi w:val="0"/>
        <w:spacing w:line="560" w:lineRule="exact"/>
        <w:ind w:left="0" w:firstLine="604"/>
        <w:rPr>
          <w:rFonts w:ascii="方正仿宋_GBK" w:hAnsi="方正仿宋_GBK"/>
          <w:snapToGrid w:val="0"/>
        </w:rPr>
      </w:pPr>
      <w:r>
        <w:rPr>
          <w:rFonts w:hint="eastAsia" w:ascii="方正仿宋_GBK" w:hAnsi="方正仿宋_GBK"/>
          <w:snapToGrid w:val="0"/>
        </w:rPr>
        <w:t>支持组织扩展字段</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支持统一定义组织中单位、部门、岗位、人员的扩展信息，在管理具体部门/岗位时维护内容。</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（a）入口</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集团版：集团管理员 - 组织模型管理 - 组织主数据设置</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企业版：单位管理员 - 组织模型管理 - 组织主数据设置</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（b）设置主数据字段</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单位主数据：如，业务类别、财务主管部门等；</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部门主数据：如，汇报部门、部门编制、业务属性等；</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岗位主数据：如，汇报岗位、密级等；</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人员主数据：如，费用归属部门、指导人等。</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（c）支持统一定义扩展信息，在具体单位/部门/岗位/人员管理时维护具体内容</w:t>
      </w:r>
    </w:p>
    <w:p>
      <w:pPr>
        <w:numPr>
          <w:ilvl w:val="0"/>
          <w:numId w:val="79"/>
        </w:numPr>
        <w:kinsoku/>
        <w:wordWrap/>
        <w:topLinePunct w:val="0"/>
        <w:autoSpaceDE/>
        <w:autoSpaceDN/>
        <w:bidi w:val="0"/>
        <w:spacing w:line="560" w:lineRule="exact"/>
        <w:ind w:left="0" w:firstLine="604"/>
        <w:rPr>
          <w:rFonts w:ascii="方正仿宋_GBK" w:hAnsi="方正仿宋_GBK"/>
          <w:snapToGrid w:val="0"/>
        </w:rPr>
      </w:pPr>
      <w:r>
        <w:rPr>
          <w:rFonts w:hint="eastAsia" w:ascii="方正仿宋_GBK" w:hAnsi="方正仿宋_GBK"/>
          <w:snapToGrid w:val="0"/>
        </w:rPr>
        <w:t>通讯录使用主数据</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通讯录支持设置显示人员的自定义字段，便于更方便地找人、了解人员的关键信息。可显示的地方：PC端通讯录列表、人员卡片，移动端、农投集团的通讯录。</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（3）统一消息</w:t>
      </w:r>
    </w:p>
    <w:p>
      <w:pPr>
        <w:numPr>
          <w:ilvl w:val="0"/>
          <w:numId w:val="80"/>
        </w:numPr>
        <w:kinsoku/>
        <w:wordWrap/>
        <w:topLinePunct w:val="0"/>
        <w:autoSpaceDE/>
        <w:autoSpaceDN/>
        <w:bidi w:val="0"/>
        <w:spacing w:line="560" w:lineRule="exact"/>
        <w:ind w:left="0" w:firstLine="604"/>
        <w:rPr>
          <w:rFonts w:ascii="方正仿宋_GBK" w:hAnsi="方正仿宋_GBK"/>
          <w:snapToGrid w:val="0"/>
        </w:rPr>
      </w:pPr>
      <w:r>
        <w:rPr>
          <w:rFonts w:hint="eastAsia" w:ascii="方正仿宋_GBK" w:hAnsi="方正仿宋_GBK"/>
          <w:snapToGrid w:val="0"/>
        </w:rPr>
        <w:t>即时通讯</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（a）组织机构页签群组页面显示包含本人的全部群组</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b）发起交流，可以发起单人对话和多人对话，消息内容可以消息内容可发送文字、表情、图片、截图、文件、文件夹、名片、应用消息（会议、协同、日程、任务）。消息内容可以接收文字、表情、语音、图片、截图、文件、文件夹和应用消息。</w:t>
      </w:r>
    </w:p>
    <w:p>
      <w:pPr>
        <w:numPr>
          <w:ilvl w:val="0"/>
          <w:numId w:val="80"/>
        </w:numPr>
        <w:kinsoku/>
        <w:wordWrap/>
        <w:topLinePunct w:val="0"/>
        <w:autoSpaceDE/>
        <w:autoSpaceDN/>
        <w:bidi w:val="0"/>
        <w:spacing w:line="560" w:lineRule="exact"/>
        <w:ind w:left="0" w:firstLine="604"/>
        <w:rPr>
          <w:rFonts w:ascii="方正仿宋_GBK" w:hAnsi="方正仿宋_GBK"/>
          <w:snapToGrid w:val="0"/>
        </w:rPr>
      </w:pPr>
      <w:r>
        <w:rPr>
          <w:rFonts w:hint="eastAsia" w:ascii="方正仿宋_GBK" w:hAnsi="方正仿宋_GBK"/>
          <w:snapToGrid w:val="0"/>
        </w:rPr>
        <w:t>更智能的消息中心，高效的工作处理入口</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（a）对消息进行智能排序，包括我的领导消息、跟踪事项消息、@我的消息，本着“要事优先”的原则让与目前工作密切相关的重要消息在海量消息中脱颖而出。</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（b）消息中心整合重要消息、智能消息、应用消息、IM消息和异构系统消息。</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（c）多操作形式：置顶、消息免打扰、放入应用消息分类、清空所有消息，满足移动端操作习惯。</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（d）智能推送提醒：工作统计，日程安排，数据统计报表。</w:t>
      </w:r>
    </w:p>
    <w:p>
      <w:pPr>
        <w:numPr>
          <w:ilvl w:val="0"/>
          <w:numId w:val="80"/>
        </w:numPr>
        <w:kinsoku/>
        <w:wordWrap/>
        <w:topLinePunct w:val="0"/>
        <w:autoSpaceDE/>
        <w:autoSpaceDN/>
        <w:bidi w:val="0"/>
        <w:spacing w:line="560" w:lineRule="exact"/>
        <w:ind w:left="0" w:firstLine="604"/>
        <w:rPr>
          <w:rFonts w:ascii="方正仿宋_GBK" w:hAnsi="方正仿宋_GBK"/>
          <w:snapToGrid w:val="0"/>
        </w:rPr>
      </w:pPr>
      <w:r>
        <w:rPr>
          <w:rFonts w:hint="eastAsia" w:ascii="方正仿宋_GBK" w:hAnsi="方正仿宋_GBK"/>
          <w:snapToGrid w:val="0"/>
        </w:rPr>
        <w:t>多端消息</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（a）支持手机静音、消息可以区分已读未读</w:t>
      </w:r>
      <w:r>
        <w:rPr>
          <w:rFonts w:hint="eastAsia" w:ascii="方正仿宋_GBK" w:hAnsi="方正仿宋_GBK"/>
          <w:snapToGrid w:val="0"/>
          <w:lang w:eastAsia="zh-CN"/>
        </w:rPr>
        <w:t>，</w:t>
      </w:r>
      <w:r>
        <w:rPr>
          <w:rFonts w:hint="eastAsia" w:ascii="方正仿宋_GBK" w:hAnsi="方正仿宋_GBK"/>
          <w:snapToGrid w:val="0"/>
        </w:rPr>
        <w:t xml:space="preserve"> 单条消息已读未读红点区分。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（b）消息到底看没看过，一眼可辨别，不重要的消息快速标记为已读。</w:t>
      </w:r>
    </w:p>
    <w:p>
      <w:pPr>
        <w:numPr>
          <w:ilvl w:val="0"/>
          <w:numId w:val="80"/>
        </w:numPr>
        <w:kinsoku/>
        <w:wordWrap/>
        <w:topLinePunct w:val="0"/>
        <w:autoSpaceDE/>
        <w:autoSpaceDN/>
        <w:bidi w:val="0"/>
        <w:spacing w:line="560" w:lineRule="exact"/>
        <w:ind w:left="0" w:firstLine="604"/>
        <w:rPr>
          <w:rFonts w:ascii="方正仿宋_GBK" w:hAnsi="方正仿宋_GBK"/>
          <w:snapToGrid w:val="0"/>
        </w:rPr>
      </w:pPr>
      <w:r>
        <w:rPr>
          <w:rFonts w:hint="eastAsia" w:ascii="方正仿宋_GBK" w:hAnsi="方正仿宋_GBK"/>
          <w:snapToGrid w:val="0"/>
        </w:rPr>
        <w:t>手机静音</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人在电脑前使用致信/登录网页协同，手机不再重复震动响铃提醒。</w:t>
      </w:r>
    </w:p>
    <w:p>
      <w:pPr>
        <w:kinsoku/>
        <w:wordWrap/>
        <w:topLinePunct w:val="0"/>
        <w:autoSpaceDE/>
        <w:autoSpaceDN/>
        <w:bidi w:val="0"/>
        <w:spacing w:line="560" w:lineRule="exact"/>
        <w:ind w:firstLine="606"/>
        <w:rPr>
          <w:rFonts w:ascii="方正仿宋_GBK" w:hAnsi="方正仿宋_GBK"/>
          <w:b/>
          <w:bCs/>
          <w:snapToGrid w:val="0"/>
        </w:rPr>
      </w:pPr>
      <w:r>
        <w:rPr>
          <w:rFonts w:hint="eastAsia" w:ascii="方正仿宋_GBK" w:hAnsi="方正仿宋_GBK"/>
          <w:b/>
          <w:bCs/>
          <w:snapToGrid w:val="0"/>
        </w:rPr>
        <w:t>（4）统一待办</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更灵活的待办，与消息双向驱动工作落实</w:t>
      </w:r>
    </w:p>
    <w:p>
      <w:pPr>
        <w:numPr>
          <w:ilvl w:val="0"/>
          <w:numId w:val="81"/>
        </w:numPr>
        <w:kinsoku/>
        <w:wordWrap/>
        <w:topLinePunct w:val="0"/>
        <w:autoSpaceDE/>
        <w:autoSpaceDN/>
        <w:bidi w:val="0"/>
        <w:spacing w:line="560" w:lineRule="exact"/>
        <w:ind w:left="0" w:firstLine="604"/>
        <w:rPr>
          <w:rFonts w:ascii="方正仿宋_GBK" w:hAnsi="方正仿宋_GBK"/>
          <w:snapToGrid w:val="0"/>
        </w:rPr>
      </w:pPr>
      <w:r>
        <w:rPr>
          <w:rFonts w:hint="eastAsia" w:ascii="方正仿宋_GBK" w:hAnsi="方正仿宋_GBK"/>
          <w:snapToGrid w:val="0"/>
        </w:rPr>
        <w:t>自由协同、流程审批，任务系统，日程管理，异构系统业务单据审批，聚合在待办中心形成工作统一办理入口，提升办公办事效率。</w:t>
      </w:r>
    </w:p>
    <w:p>
      <w:pPr>
        <w:numPr>
          <w:ilvl w:val="0"/>
          <w:numId w:val="81"/>
        </w:numPr>
        <w:kinsoku/>
        <w:wordWrap/>
        <w:topLinePunct w:val="0"/>
        <w:autoSpaceDE/>
        <w:autoSpaceDN/>
        <w:bidi w:val="0"/>
        <w:spacing w:line="560" w:lineRule="exact"/>
        <w:ind w:left="0" w:firstLine="604"/>
        <w:rPr>
          <w:rFonts w:ascii="方正仿宋_GBK" w:hAnsi="方正仿宋_GBK"/>
          <w:snapToGrid w:val="0"/>
        </w:rPr>
      </w:pPr>
      <w:r>
        <w:rPr>
          <w:rFonts w:hint="eastAsia" w:ascii="方正仿宋_GBK" w:hAnsi="方正仿宋_GBK"/>
          <w:snapToGrid w:val="0"/>
        </w:rPr>
        <w:t>待办列表支持快捷处理操作，并支持对待办事项进行批量处理，大大提升了工作效率。</w:t>
      </w:r>
    </w:p>
    <w:p>
      <w:pPr>
        <w:numPr>
          <w:ilvl w:val="0"/>
          <w:numId w:val="81"/>
        </w:numPr>
        <w:kinsoku/>
        <w:wordWrap/>
        <w:topLinePunct w:val="0"/>
        <w:autoSpaceDE/>
        <w:autoSpaceDN/>
        <w:bidi w:val="0"/>
        <w:spacing w:line="560" w:lineRule="exact"/>
        <w:ind w:left="0" w:firstLine="604"/>
        <w:rPr>
          <w:rFonts w:ascii="方正仿宋_GBK" w:hAnsi="方正仿宋_GBK"/>
          <w:snapToGrid w:val="0"/>
        </w:rPr>
      </w:pPr>
      <w:r>
        <w:rPr>
          <w:rFonts w:hint="eastAsia" w:ascii="方正仿宋_GBK" w:hAnsi="方正仿宋_GBK"/>
          <w:snapToGrid w:val="0"/>
        </w:rPr>
        <w:t>移动端与PC端自定义待办栏目数据同步，待办处理与消息状态同步。</w:t>
      </w:r>
    </w:p>
    <w:p>
      <w:pPr>
        <w:numPr>
          <w:ilvl w:val="0"/>
          <w:numId w:val="81"/>
        </w:numPr>
        <w:kinsoku/>
        <w:wordWrap/>
        <w:topLinePunct w:val="0"/>
        <w:autoSpaceDE/>
        <w:autoSpaceDN/>
        <w:bidi w:val="0"/>
        <w:spacing w:line="560" w:lineRule="exact"/>
        <w:ind w:left="0" w:firstLine="604"/>
        <w:rPr>
          <w:rFonts w:ascii="方正仿宋_GBK" w:hAnsi="方正仿宋_GBK"/>
          <w:snapToGrid w:val="0"/>
        </w:rPr>
      </w:pPr>
      <w:r>
        <w:rPr>
          <w:rFonts w:hint="eastAsia" w:ascii="方正仿宋_GBK" w:hAnsi="方正仿宋_GBK"/>
          <w:snapToGrid w:val="0"/>
        </w:rPr>
        <w:t>待办类别分类筛选，灵活配置类别。</w:t>
      </w:r>
    </w:p>
    <w:p>
      <w:pPr>
        <w:kinsoku/>
        <w:wordWrap/>
        <w:topLinePunct w:val="0"/>
        <w:autoSpaceDE/>
        <w:autoSpaceDN/>
        <w:bidi w:val="0"/>
        <w:spacing w:line="560" w:lineRule="exact"/>
        <w:ind w:firstLine="606"/>
        <w:rPr>
          <w:rFonts w:ascii="方正仿宋_GBK" w:hAnsi="方正仿宋_GBK"/>
          <w:b/>
          <w:bCs/>
          <w:snapToGrid w:val="0"/>
        </w:rPr>
      </w:pPr>
      <w:r>
        <w:rPr>
          <w:rFonts w:hint="eastAsia" w:ascii="方正仿宋_GBK" w:hAnsi="方正仿宋_GBK"/>
          <w:b/>
          <w:bCs/>
          <w:snapToGrid w:val="0"/>
        </w:rPr>
        <w:t>（5）统一工作台</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全员工作入口，企业量身定制工作平台</w:t>
      </w:r>
    </w:p>
    <w:p>
      <w:pPr>
        <w:numPr>
          <w:ilvl w:val="0"/>
          <w:numId w:val="82"/>
        </w:numPr>
        <w:kinsoku/>
        <w:wordWrap/>
        <w:topLinePunct w:val="0"/>
        <w:autoSpaceDE/>
        <w:autoSpaceDN/>
        <w:bidi w:val="0"/>
        <w:spacing w:line="560" w:lineRule="exact"/>
        <w:ind w:left="0" w:firstLine="604"/>
        <w:rPr>
          <w:rFonts w:ascii="方正仿宋_GBK" w:hAnsi="方正仿宋_GBK"/>
          <w:snapToGrid w:val="0"/>
        </w:rPr>
      </w:pPr>
      <w:r>
        <w:rPr>
          <w:rFonts w:hint="eastAsia" w:ascii="方正仿宋_GBK" w:hAnsi="方正仿宋_GBK"/>
          <w:snapToGrid w:val="0"/>
        </w:rPr>
        <w:t>支持多角色多类型门户的切换，信息门户、业务定制平台业务门户、ISV集成门户等；</w:t>
      </w:r>
    </w:p>
    <w:p>
      <w:pPr>
        <w:numPr>
          <w:ilvl w:val="0"/>
          <w:numId w:val="82"/>
        </w:numPr>
        <w:kinsoku/>
        <w:wordWrap/>
        <w:topLinePunct w:val="0"/>
        <w:autoSpaceDE/>
        <w:autoSpaceDN/>
        <w:bidi w:val="0"/>
        <w:spacing w:line="560" w:lineRule="exact"/>
        <w:ind w:left="0" w:firstLine="604"/>
        <w:rPr>
          <w:rFonts w:ascii="方正仿宋_GBK" w:hAnsi="方正仿宋_GBK"/>
          <w:snapToGrid w:val="0"/>
        </w:rPr>
      </w:pPr>
      <w:r>
        <w:rPr>
          <w:rFonts w:hint="eastAsia" w:ascii="方正仿宋_GBK" w:hAnsi="方正仿宋_GBK"/>
          <w:snapToGrid w:val="0"/>
        </w:rPr>
        <w:t>统一应用中心：协同办公应用、业务定制平台业务应用、企业集成客开应用、ISV厂商服务应用等；</w:t>
      </w:r>
    </w:p>
    <w:p>
      <w:pPr>
        <w:numPr>
          <w:ilvl w:val="0"/>
          <w:numId w:val="82"/>
        </w:numPr>
        <w:kinsoku/>
        <w:wordWrap/>
        <w:topLinePunct w:val="0"/>
        <w:autoSpaceDE/>
        <w:autoSpaceDN/>
        <w:bidi w:val="0"/>
        <w:spacing w:line="560" w:lineRule="exact"/>
        <w:ind w:left="0" w:firstLine="604"/>
        <w:rPr>
          <w:rFonts w:ascii="方正仿宋_GBK" w:hAnsi="方正仿宋_GBK"/>
          <w:snapToGrid w:val="0"/>
        </w:rPr>
      </w:pPr>
      <w:r>
        <w:rPr>
          <w:rFonts w:hint="eastAsia" w:ascii="方正仿宋_GBK" w:hAnsi="方正仿宋_GBK"/>
          <w:snapToGrid w:val="0"/>
        </w:rPr>
        <w:t>高度自定义配置能力：工作台自定义能力、门户自定义能力、下导航自定义能力。</w:t>
      </w:r>
    </w:p>
    <w:p>
      <w:pPr>
        <w:kinsoku/>
        <w:wordWrap/>
        <w:topLinePunct w:val="0"/>
        <w:autoSpaceDE/>
        <w:autoSpaceDN/>
        <w:bidi w:val="0"/>
        <w:spacing w:line="560" w:lineRule="exact"/>
        <w:ind w:firstLine="606"/>
        <w:rPr>
          <w:rFonts w:ascii="方正仿宋_GBK" w:hAnsi="方正仿宋_GBK"/>
          <w:b/>
          <w:bCs/>
          <w:snapToGrid w:val="0"/>
        </w:rPr>
      </w:pPr>
      <w:r>
        <w:rPr>
          <w:rFonts w:hint="eastAsia" w:ascii="方正仿宋_GBK" w:hAnsi="方正仿宋_GBK"/>
          <w:b/>
          <w:bCs/>
          <w:snapToGrid w:val="0"/>
        </w:rPr>
        <w:t>（6）统一搜索</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统一入口搜索各应用及异构系统的数据信息。</w:t>
      </w:r>
    </w:p>
    <w:p>
      <w:pPr>
        <w:numPr>
          <w:ilvl w:val="0"/>
          <w:numId w:val="83"/>
        </w:numPr>
        <w:kinsoku/>
        <w:wordWrap/>
        <w:topLinePunct w:val="0"/>
        <w:autoSpaceDE/>
        <w:autoSpaceDN/>
        <w:bidi w:val="0"/>
        <w:spacing w:line="560" w:lineRule="exact"/>
        <w:ind w:left="0" w:firstLine="604"/>
        <w:rPr>
          <w:rFonts w:ascii="方正仿宋_GBK" w:hAnsi="方正仿宋_GBK"/>
          <w:snapToGrid w:val="0"/>
        </w:rPr>
      </w:pPr>
      <w:r>
        <w:rPr>
          <w:rFonts w:hint="eastAsia" w:ascii="方正仿宋_GBK" w:hAnsi="方正仿宋_GBK"/>
          <w:snapToGrid w:val="0"/>
        </w:rPr>
        <w:t>搜索算法优化：索引入库的性能和效率大幅度提升，从根本上提升搜索精准度；</w:t>
      </w:r>
    </w:p>
    <w:p>
      <w:pPr>
        <w:numPr>
          <w:ilvl w:val="0"/>
          <w:numId w:val="83"/>
        </w:numPr>
        <w:kinsoku/>
        <w:wordWrap/>
        <w:topLinePunct w:val="0"/>
        <w:autoSpaceDE/>
        <w:autoSpaceDN/>
        <w:bidi w:val="0"/>
        <w:spacing w:line="560" w:lineRule="exact"/>
        <w:ind w:left="0" w:firstLine="604"/>
        <w:rPr>
          <w:rFonts w:ascii="方正仿宋_GBK" w:hAnsi="方正仿宋_GBK"/>
          <w:snapToGrid w:val="0"/>
        </w:rPr>
      </w:pPr>
      <w:r>
        <w:rPr>
          <w:rFonts w:hint="eastAsia" w:ascii="方正仿宋_GBK" w:hAnsi="方正仿宋_GBK"/>
          <w:snapToGrid w:val="0"/>
        </w:rPr>
        <w:t>全内容搜索：协同、公文、会议、新闻、公告、调查、讨论、文档、任务、通讯录、表单、日程、第三方待办；</w:t>
      </w:r>
    </w:p>
    <w:p>
      <w:pPr>
        <w:numPr>
          <w:ilvl w:val="0"/>
          <w:numId w:val="83"/>
        </w:numPr>
        <w:kinsoku/>
        <w:wordWrap/>
        <w:topLinePunct w:val="0"/>
        <w:autoSpaceDE/>
        <w:autoSpaceDN/>
        <w:bidi w:val="0"/>
        <w:spacing w:line="560" w:lineRule="exact"/>
        <w:ind w:left="0" w:firstLine="604"/>
        <w:rPr>
          <w:rFonts w:ascii="方正仿宋_GBK" w:hAnsi="方正仿宋_GBK"/>
          <w:snapToGrid w:val="0"/>
        </w:rPr>
      </w:pPr>
      <w:r>
        <w:rPr>
          <w:rFonts w:hint="eastAsia" w:ascii="方正仿宋_GBK" w:hAnsi="方正仿宋_GBK"/>
          <w:snapToGrid w:val="0"/>
        </w:rPr>
        <w:t>可选择搜索内容类型，应用内可局部搜索，搜索更具有针对性；</w:t>
      </w:r>
    </w:p>
    <w:p>
      <w:pPr>
        <w:numPr>
          <w:ilvl w:val="0"/>
          <w:numId w:val="83"/>
        </w:numPr>
        <w:kinsoku/>
        <w:wordWrap/>
        <w:topLinePunct w:val="0"/>
        <w:autoSpaceDE/>
        <w:autoSpaceDN/>
        <w:bidi w:val="0"/>
        <w:spacing w:line="560" w:lineRule="exact"/>
        <w:ind w:left="0" w:firstLine="604"/>
        <w:rPr>
          <w:rFonts w:ascii="方正仿宋_GBK" w:hAnsi="方正仿宋_GBK"/>
          <w:snapToGrid w:val="0"/>
        </w:rPr>
      </w:pPr>
      <w:r>
        <w:rPr>
          <w:rFonts w:hint="eastAsia" w:ascii="方正仿宋_GBK" w:hAnsi="方正仿宋_GBK"/>
          <w:snapToGrid w:val="0"/>
        </w:rPr>
        <w:t>新增搜索记录和热门搜索。</w:t>
      </w:r>
    </w:p>
    <w:p>
      <w:pPr>
        <w:kinsoku/>
        <w:wordWrap/>
        <w:topLinePunct w:val="0"/>
        <w:autoSpaceDE/>
        <w:autoSpaceDN/>
        <w:bidi w:val="0"/>
        <w:spacing w:line="560" w:lineRule="exact"/>
        <w:ind w:firstLine="606"/>
        <w:rPr>
          <w:rFonts w:ascii="方正仿宋_GBK" w:hAnsi="方正仿宋_GBK"/>
          <w:b/>
          <w:bCs/>
          <w:snapToGrid w:val="0"/>
        </w:rPr>
      </w:pPr>
      <w:r>
        <w:rPr>
          <w:rFonts w:hint="eastAsia" w:ascii="方正仿宋_GBK" w:hAnsi="方正仿宋_GBK"/>
          <w:b/>
          <w:bCs/>
          <w:snapToGrid w:val="0"/>
        </w:rPr>
        <w:t>（7）统一报表</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实现对企业业务数据、协同分析的全景化呈现。</w:t>
      </w:r>
    </w:p>
    <w:p>
      <w:pPr>
        <w:numPr>
          <w:ilvl w:val="0"/>
          <w:numId w:val="84"/>
        </w:numPr>
        <w:kinsoku/>
        <w:wordWrap/>
        <w:topLinePunct w:val="0"/>
        <w:autoSpaceDE/>
        <w:autoSpaceDN/>
        <w:bidi w:val="0"/>
        <w:spacing w:line="560" w:lineRule="exact"/>
        <w:ind w:left="0" w:firstLine="604"/>
        <w:rPr>
          <w:rFonts w:ascii="方正仿宋_GBK" w:hAnsi="方正仿宋_GBK"/>
          <w:snapToGrid w:val="0"/>
        </w:rPr>
      </w:pPr>
      <w:r>
        <w:rPr>
          <w:rFonts w:hint="eastAsia" w:ascii="方正仿宋_GBK" w:hAnsi="方正仿宋_GBK"/>
          <w:snapToGrid w:val="0"/>
        </w:rPr>
        <w:t>自主研发的报表设计器：支持不同样式、不同内容</w:t>
      </w:r>
      <w:r>
        <w:rPr>
          <w:rFonts w:hint="eastAsia" w:ascii="方正仿宋_GBK" w:hAnsi="方正仿宋_GBK"/>
          <w:snapToGrid w:val="0"/>
          <w:lang w:eastAsia="zh-CN"/>
        </w:rPr>
        <w:t>来源地报表</w:t>
      </w:r>
      <w:r>
        <w:rPr>
          <w:rFonts w:hint="eastAsia" w:ascii="方正仿宋_GBK" w:hAnsi="方正仿宋_GBK"/>
          <w:snapToGrid w:val="0"/>
        </w:rPr>
        <w:t>一站式统一查看；</w:t>
      </w:r>
    </w:p>
    <w:p>
      <w:pPr>
        <w:numPr>
          <w:ilvl w:val="0"/>
          <w:numId w:val="84"/>
        </w:numPr>
        <w:kinsoku/>
        <w:wordWrap/>
        <w:topLinePunct w:val="0"/>
        <w:autoSpaceDE/>
        <w:autoSpaceDN/>
        <w:bidi w:val="0"/>
        <w:spacing w:line="560" w:lineRule="exact"/>
        <w:ind w:left="0" w:firstLine="604"/>
        <w:rPr>
          <w:rFonts w:ascii="方正仿宋_GBK" w:hAnsi="方正仿宋_GBK"/>
          <w:snapToGrid w:val="0"/>
        </w:rPr>
      </w:pPr>
      <w:r>
        <w:rPr>
          <w:rFonts w:hint="eastAsia" w:ascii="方正仿宋_GBK" w:hAnsi="方正仿宋_GBK"/>
          <w:snapToGrid w:val="0"/>
        </w:rPr>
        <w:t>展现形式：支持多表查询统计、Excel数据直接导入等；</w:t>
      </w:r>
    </w:p>
    <w:p>
      <w:pPr>
        <w:numPr>
          <w:ilvl w:val="0"/>
          <w:numId w:val="84"/>
        </w:numPr>
        <w:kinsoku/>
        <w:wordWrap/>
        <w:topLinePunct w:val="0"/>
        <w:autoSpaceDE/>
        <w:autoSpaceDN/>
        <w:bidi w:val="0"/>
        <w:spacing w:line="560" w:lineRule="exact"/>
        <w:ind w:left="0" w:firstLine="604"/>
        <w:rPr>
          <w:rFonts w:ascii="方正仿宋_GBK" w:hAnsi="方正仿宋_GBK"/>
          <w:snapToGrid w:val="0"/>
        </w:rPr>
      </w:pPr>
      <w:r>
        <w:rPr>
          <w:rFonts w:hint="eastAsia" w:ascii="方正仿宋_GBK" w:hAnsi="方正仿宋_GBK"/>
          <w:snapToGrid w:val="0"/>
        </w:rPr>
        <w:t>报表数据统一汇总：包括协同工作行为数据、企业管理业务和业绩数据、定制化业务数据、异构系统的业务数据等。</w:t>
      </w:r>
    </w:p>
    <w:p>
      <w:pPr>
        <w:kinsoku/>
        <w:wordWrap/>
        <w:topLinePunct w:val="0"/>
        <w:autoSpaceDE/>
        <w:autoSpaceDN/>
        <w:bidi w:val="0"/>
        <w:spacing w:line="560" w:lineRule="exact"/>
        <w:ind w:firstLine="606"/>
        <w:rPr>
          <w:rFonts w:ascii="方正仿宋_GBK" w:hAnsi="方正仿宋_GBK"/>
          <w:b/>
          <w:bCs/>
          <w:snapToGrid w:val="0"/>
        </w:rPr>
      </w:pPr>
      <w:r>
        <w:rPr>
          <w:rFonts w:hint="eastAsia" w:ascii="方正仿宋_GBK" w:hAnsi="方正仿宋_GBK"/>
          <w:b/>
          <w:bCs/>
          <w:snapToGrid w:val="0"/>
        </w:rPr>
        <w:t>（8）统一交互</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所有页面统一交互组件，确保使用的流畅感受。</w:t>
      </w:r>
    </w:p>
    <w:p>
      <w:pPr>
        <w:numPr>
          <w:ilvl w:val="0"/>
          <w:numId w:val="85"/>
        </w:numPr>
        <w:kinsoku/>
        <w:wordWrap/>
        <w:topLinePunct w:val="0"/>
        <w:autoSpaceDE/>
        <w:autoSpaceDN/>
        <w:bidi w:val="0"/>
        <w:spacing w:line="560" w:lineRule="exact"/>
        <w:ind w:left="0" w:firstLine="604"/>
        <w:rPr>
          <w:rFonts w:ascii="方正仿宋_GBK" w:hAnsi="方正仿宋_GBK"/>
          <w:snapToGrid w:val="0"/>
        </w:rPr>
      </w:pPr>
      <w:r>
        <w:rPr>
          <w:rFonts w:hint="eastAsia" w:ascii="方正仿宋_GBK" w:hAnsi="方正仿宋_GBK"/>
          <w:snapToGrid w:val="0"/>
        </w:rPr>
        <w:t>所有移动协同平台的框架与业务应用都遵守统一的交互规范，同时移动端的移动</w:t>
      </w:r>
      <w:r>
        <w:rPr>
          <w:rFonts w:hint="eastAsia" w:ascii="方正仿宋_GBK" w:hAnsi="方正仿宋_GBK"/>
          <w:snapToGrid w:val="0"/>
          <w:lang w:eastAsia="zh-CN"/>
        </w:rPr>
        <w:t>平台</w:t>
      </w:r>
      <w:r>
        <w:rPr>
          <w:rFonts w:hint="eastAsia" w:ascii="方正仿宋_GBK" w:hAnsi="方正仿宋_GBK"/>
          <w:snapToGrid w:val="0"/>
        </w:rPr>
        <w:t>提供了大量的标准的移动交互和业务组件供第三方开发者使用；</w:t>
      </w:r>
    </w:p>
    <w:p>
      <w:pPr>
        <w:numPr>
          <w:ilvl w:val="0"/>
          <w:numId w:val="85"/>
        </w:numPr>
        <w:kinsoku/>
        <w:wordWrap/>
        <w:topLinePunct w:val="0"/>
        <w:autoSpaceDE/>
        <w:autoSpaceDN/>
        <w:bidi w:val="0"/>
        <w:spacing w:line="560" w:lineRule="exact"/>
        <w:ind w:left="0" w:firstLine="604"/>
        <w:rPr>
          <w:rFonts w:ascii="方正仿宋_GBK" w:hAnsi="方正仿宋_GBK"/>
          <w:snapToGrid w:val="0"/>
        </w:rPr>
      </w:pPr>
      <w:r>
        <w:rPr>
          <w:rFonts w:hint="eastAsia" w:ascii="方正仿宋_GBK" w:hAnsi="方正仿宋_GBK"/>
          <w:snapToGrid w:val="0"/>
        </w:rPr>
        <w:t>手机竖屏显示的操作使用模式一直制影响着移动端办公应用的全面落地与发展，目前通过移动端企业办公人员可以充分享受横屏查看表单的高效，填写表单的便捷，审批过程的愉悦。</w:t>
      </w:r>
    </w:p>
    <w:p>
      <w:pPr>
        <w:kinsoku/>
        <w:wordWrap/>
        <w:topLinePunct w:val="0"/>
        <w:autoSpaceDE/>
        <w:autoSpaceDN/>
        <w:bidi w:val="0"/>
        <w:spacing w:line="560" w:lineRule="exact"/>
        <w:ind w:firstLine="606"/>
        <w:rPr>
          <w:b/>
          <w:bCs/>
        </w:rPr>
      </w:pPr>
      <w:r>
        <w:rPr>
          <w:rFonts w:hint="eastAsia"/>
          <w:b/>
          <w:bCs/>
        </w:rPr>
        <w:t>2.移动办公应用</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移动工作让管理随心，成功随行。移动工作平台为企业预置了协同办公，企业文化，数据报表，个人工具四大类共计20余个全员日常办公应用，实现日常工作全覆盖：协同、公文、公告、新闻、享空间、调查、会议、文档、行为绩效、工资条、时间安排、签到、报表分析、查询统计、讨论、工作任务等满足企业与员工之间、员工与员工之间随时有效连接，促进日常工作的有序开展。</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通过的移动建模工具，企业可以配置出满足企业自身管理需求的各种管理类业务应用，实现企业日常办公、行政审批，业务管理有效融入统一移动工作平台，构建新型企业移动办公室。</w:t>
      </w:r>
    </w:p>
    <w:p>
      <w:pPr>
        <w:numPr>
          <w:ilvl w:val="0"/>
          <w:numId w:val="86"/>
        </w:numPr>
        <w:kinsoku/>
        <w:wordWrap/>
        <w:topLinePunct w:val="0"/>
        <w:autoSpaceDE/>
        <w:autoSpaceDN/>
        <w:bidi w:val="0"/>
        <w:spacing w:line="560" w:lineRule="exact"/>
        <w:ind w:left="0" w:firstLine="604"/>
        <w:rPr>
          <w:rFonts w:ascii="方正仿宋_GBK" w:hAnsi="方正仿宋_GBK"/>
          <w:snapToGrid w:val="0"/>
        </w:rPr>
      </w:pPr>
      <w:r>
        <w:rPr>
          <w:rFonts w:hint="eastAsia" w:ascii="方正仿宋_GBK" w:hAnsi="方正仿宋_GBK"/>
          <w:snapToGrid w:val="0"/>
        </w:rPr>
        <w:t>移动审批</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审批业务全覆盖，审批结点有预测</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各级人员根据业务需求在移动端随时发起申请，管理人员无论身在何处，均可以通过移动设备进行业务审批及其相关操作，在满足企业业务管理规范下驱动业务流高效运转。</w:t>
      </w:r>
    </w:p>
    <w:p>
      <w:pPr>
        <w:numPr>
          <w:ilvl w:val="0"/>
          <w:numId w:val="87"/>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满足协同审批在日常工作场景中的25类审批应用：包括加签、当前会签、回退、撤销、移交、知会、转发、签章、归档、上传附件、跟踪、流程追溯等应用。</w:t>
      </w:r>
    </w:p>
    <w:p>
      <w:pPr>
        <w:numPr>
          <w:ilvl w:val="0"/>
          <w:numId w:val="87"/>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智能对审批流程中的审批节点效率进行时长估算，进而预测出流程审批完的时间点。</w:t>
      </w:r>
    </w:p>
    <w:p>
      <w:pPr>
        <w:numPr>
          <w:ilvl w:val="0"/>
          <w:numId w:val="87"/>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随时查看流程处理状态并催办，支持进行批量或者单人催办，确保审批过程高效可控。</w:t>
      </w:r>
    </w:p>
    <w:p>
      <w:pPr>
        <w:numPr>
          <w:ilvl w:val="0"/>
          <w:numId w:val="87"/>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移动处理过程中可以随时发起多地电话会议。</w:t>
      </w:r>
    </w:p>
    <w:p>
      <w:pPr>
        <w:numPr>
          <w:ilvl w:val="0"/>
          <w:numId w:val="86"/>
        </w:numPr>
        <w:kinsoku/>
        <w:wordWrap/>
        <w:topLinePunct w:val="0"/>
        <w:autoSpaceDE/>
        <w:autoSpaceDN/>
        <w:bidi w:val="0"/>
        <w:spacing w:line="560" w:lineRule="exact"/>
        <w:ind w:left="0" w:firstLine="604"/>
        <w:rPr>
          <w:rFonts w:ascii="方正仿宋_GBK" w:hAnsi="方正仿宋_GBK"/>
          <w:snapToGrid w:val="0"/>
        </w:rPr>
      </w:pPr>
      <w:r>
        <w:rPr>
          <w:rFonts w:hint="eastAsia" w:ascii="方正仿宋_GBK" w:hAnsi="方正仿宋_GBK"/>
          <w:snapToGrid w:val="0"/>
        </w:rPr>
        <w:t>考勤签到</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打卡支持GPS定点打卡和企业局域网wifi自动连接打卡；考勤管理支持内勤打卡和外勤签到两种模式。可以通过查看足迹即时掌握外勤人员行为轨迹、跟踪外勤拜访地点，提升外勤行为质量。“早到榜” 营造企业员工积极工作氛围，彰显企业文化。</w:t>
      </w:r>
    </w:p>
    <w:p>
      <w:pPr>
        <w:numPr>
          <w:ilvl w:val="0"/>
          <w:numId w:val="88"/>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移动端签到支持内勤打卡和外勤签到，并支持查看足迹，并将PC签到信息和移动端签到信息统一纳入统计</w:t>
      </w:r>
    </w:p>
    <w:p>
      <w:pPr>
        <w:numPr>
          <w:ilvl w:val="0"/>
          <w:numId w:val="88"/>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支持外勤、签到和签退</w:t>
      </w:r>
    </w:p>
    <w:p>
      <w:pPr>
        <w:numPr>
          <w:ilvl w:val="0"/>
          <w:numId w:val="88"/>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考勤足迹分布清晰可见</w:t>
      </w:r>
    </w:p>
    <w:p>
      <w:pPr>
        <w:numPr>
          <w:ilvl w:val="0"/>
          <w:numId w:val="88"/>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PC与移动端数据打通，签到一体化</w:t>
      </w:r>
    </w:p>
    <w:p>
      <w:pPr>
        <w:numPr>
          <w:ilvl w:val="0"/>
          <w:numId w:val="88"/>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用户在当天首次打开移动端且第一次上班时间之前，若手机连接上了设置的签到WIFI，则会弹出极速打卡窗口，点击按钮可快速打卡，也可点击窗口右下角的关闭按钮取消打卡。</w:t>
      </w:r>
    </w:p>
    <w:p>
      <w:pPr>
        <w:numPr>
          <w:ilvl w:val="0"/>
          <w:numId w:val="88"/>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设置（需考勤管理员权限）可进行签到地址设置，点击上方添加办公地点以及已有地址会进入办公地点的编辑页面，该页面可搜索地点名称选择地址，也可点击地图上的地点选择地址，设置打卡范围，地址启停以及地址名备注；同样的，也可对签到WIFI进行设置，签到WIFI列表。</w:t>
      </w:r>
    </w:p>
    <w:p>
      <w:pPr>
        <w:numPr>
          <w:ilvl w:val="0"/>
          <w:numId w:val="86"/>
        </w:numPr>
        <w:kinsoku/>
        <w:wordWrap/>
        <w:topLinePunct w:val="0"/>
        <w:autoSpaceDE/>
        <w:autoSpaceDN/>
        <w:bidi w:val="0"/>
        <w:spacing w:line="560" w:lineRule="exact"/>
        <w:ind w:left="0" w:firstLine="604"/>
        <w:rPr>
          <w:rFonts w:ascii="方正仿宋_GBK" w:hAnsi="方正仿宋_GBK"/>
          <w:snapToGrid w:val="0"/>
        </w:rPr>
      </w:pPr>
      <w:r>
        <w:rPr>
          <w:rFonts w:hint="eastAsia" w:ascii="方正仿宋_GBK" w:hAnsi="方正仿宋_GBK"/>
          <w:snapToGrid w:val="0"/>
        </w:rPr>
        <w:t>工作任务</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实现移动派工、监控、反馈、评价、催办完整的移动PDCA管理，提升企业员工的工作效率。按照分类展现任务，每个分类下按照本周待完成、未完成、已超期、任务总数进行分类，并可对任务进行新建、处理、回复、填进度、催办等工作。</w:t>
      </w:r>
    </w:p>
    <w:p>
      <w:pPr>
        <w:numPr>
          <w:ilvl w:val="0"/>
          <w:numId w:val="89"/>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任务管理，实时掌握任务进展，高效管理，提升整体工作效率。任务按照分类展现，每个分类下支持按照本周待完成、未完成、已超期、任务总数。并可对任务进行新建、处理、回复、填进度、催办</w:t>
      </w:r>
    </w:p>
    <w:p>
      <w:pPr>
        <w:numPr>
          <w:ilvl w:val="0"/>
          <w:numId w:val="89"/>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UE交互全新体验：优化提升视觉效果，交互使用感受，整体更加简洁</w:t>
      </w:r>
    </w:p>
    <w:p>
      <w:pPr>
        <w:numPr>
          <w:ilvl w:val="0"/>
          <w:numId w:val="89"/>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新增任务催办：新增任务催办功能，丰富实际场景应用</w:t>
      </w:r>
    </w:p>
    <w:p>
      <w:pPr>
        <w:numPr>
          <w:ilvl w:val="0"/>
          <w:numId w:val="89"/>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快捷修改状态：支持在任务列表页快速修改任务状态</w:t>
      </w:r>
    </w:p>
    <w:p>
      <w:pPr>
        <w:numPr>
          <w:ilvl w:val="0"/>
          <w:numId w:val="86"/>
        </w:numPr>
        <w:kinsoku/>
        <w:wordWrap/>
        <w:topLinePunct w:val="0"/>
        <w:autoSpaceDE/>
        <w:autoSpaceDN/>
        <w:bidi w:val="0"/>
        <w:spacing w:line="560" w:lineRule="exact"/>
        <w:ind w:left="0" w:firstLine="604"/>
        <w:rPr>
          <w:rFonts w:ascii="方正仿宋_GBK" w:hAnsi="方正仿宋_GBK"/>
          <w:snapToGrid w:val="0"/>
        </w:rPr>
      </w:pPr>
      <w:r>
        <w:rPr>
          <w:rFonts w:hint="eastAsia" w:ascii="方正仿宋_GBK" w:hAnsi="方正仿宋_GBK"/>
          <w:snapToGrid w:val="0"/>
        </w:rPr>
        <w:t>时间安排</w:t>
      </w:r>
    </w:p>
    <w:p>
      <w:pPr>
        <w:numPr>
          <w:ilvl w:val="0"/>
          <w:numId w:val="90"/>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移动日程，记录每天工作安排，高效管理时间，为企业创造更大价值</w:t>
      </w:r>
    </w:p>
    <w:p>
      <w:pPr>
        <w:numPr>
          <w:ilvl w:val="0"/>
          <w:numId w:val="90"/>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时间风格整体改造：本版本对移动日程安排进行全面改造优化提升，视觉效果，交互使用感受，业务呈现逻辑更清晰，更好用</w:t>
      </w:r>
    </w:p>
    <w:p>
      <w:pPr>
        <w:numPr>
          <w:ilvl w:val="0"/>
          <w:numId w:val="90"/>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数据筛选：新增筛选功能，用户可自己筛选日程视图中不同类型的数据，进行特别关注和查阅</w:t>
      </w:r>
    </w:p>
    <w:p>
      <w:pPr>
        <w:numPr>
          <w:ilvl w:val="0"/>
          <w:numId w:val="90"/>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新建日程、会议、任务：支持用户端新建日程、会议、任务，随时随地随需新建事件，使个人日常办公场景更完整</w:t>
      </w:r>
    </w:p>
    <w:p>
      <w:pPr>
        <w:numPr>
          <w:ilvl w:val="0"/>
          <w:numId w:val="90"/>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日程自动同步：可设置日程自动同步，将日程自动同步至本地日历</w:t>
      </w:r>
    </w:p>
    <w:p>
      <w:pPr>
        <w:numPr>
          <w:ilvl w:val="0"/>
          <w:numId w:val="86"/>
        </w:numPr>
        <w:kinsoku/>
        <w:wordWrap/>
        <w:topLinePunct w:val="0"/>
        <w:autoSpaceDE/>
        <w:autoSpaceDN/>
        <w:bidi w:val="0"/>
        <w:spacing w:line="560" w:lineRule="exact"/>
        <w:ind w:left="0" w:firstLine="604"/>
        <w:rPr>
          <w:rFonts w:ascii="方正仿宋_GBK" w:hAnsi="方正仿宋_GBK"/>
          <w:snapToGrid w:val="0"/>
        </w:rPr>
      </w:pPr>
      <w:r>
        <w:rPr>
          <w:rFonts w:hint="eastAsia" w:ascii="方正仿宋_GBK" w:hAnsi="方正仿宋_GBK"/>
          <w:snapToGrid w:val="0"/>
        </w:rPr>
        <w:t>文档上传</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拍照、本地文件、本地图片等多种文件均可上传，支持新建文件夹以及可通过归档协同公文等创建文档，同时可随时查看系统中上传的各种文件，通过点赞和评论的社交化元素，增强文档贡献的活跃度。</w:t>
      </w:r>
    </w:p>
    <w:p>
      <w:pPr>
        <w:numPr>
          <w:ilvl w:val="0"/>
          <w:numId w:val="91"/>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在移动端可查看、上传文件，也可通过归档协同公文等创建文档，并可点赞和评论</w:t>
      </w:r>
    </w:p>
    <w:p>
      <w:pPr>
        <w:numPr>
          <w:ilvl w:val="0"/>
          <w:numId w:val="91"/>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多种上传方式：拍照、本地文件、本地图片，支持新建文件夹</w:t>
      </w:r>
    </w:p>
    <w:p>
      <w:pPr>
        <w:numPr>
          <w:ilvl w:val="0"/>
          <w:numId w:val="91"/>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可以点赞和评论</w:t>
      </w:r>
    </w:p>
    <w:p>
      <w:pPr>
        <w:numPr>
          <w:ilvl w:val="0"/>
          <w:numId w:val="86"/>
        </w:numPr>
        <w:kinsoku/>
        <w:wordWrap/>
        <w:topLinePunct w:val="0"/>
        <w:autoSpaceDE/>
        <w:autoSpaceDN/>
        <w:bidi w:val="0"/>
        <w:spacing w:line="560" w:lineRule="exact"/>
        <w:ind w:left="0" w:firstLine="604"/>
        <w:rPr>
          <w:rFonts w:ascii="方正仿宋_GBK" w:hAnsi="方正仿宋_GBK"/>
          <w:snapToGrid w:val="0"/>
        </w:rPr>
      </w:pPr>
      <w:r>
        <w:rPr>
          <w:rFonts w:hint="eastAsia" w:ascii="方正仿宋_GBK" w:hAnsi="方正仿宋_GBK"/>
          <w:snapToGrid w:val="0"/>
        </w:rPr>
        <w:t>移动公文</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全新的移动全面提升公文管理的能力，让移动公文审批处理更加顺畅提升企业管理能力。</w:t>
      </w:r>
    </w:p>
    <w:p>
      <w:pPr>
        <w:numPr>
          <w:ilvl w:val="0"/>
          <w:numId w:val="92"/>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用户端支持常用流程操作、流程处理进度查看</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审批节点：除分送、联合发文节点策略的发文节点、收文节点、签报节点，均可在用户端审批</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流程操作：指定回退/回退/撤销/终止/移交/续办/加签/当前会签/减签/知会/多级会签/传阅/流程追溯等流程操作均可在用户端操作</w:t>
      </w:r>
    </w:p>
    <w:p>
      <w:pPr>
        <w:numPr>
          <w:ilvl w:val="0"/>
          <w:numId w:val="92"/>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移动端支持文单编辑、文单签批盖章、正文修改、批注</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公文文号、内部文号、多单位多部门（主送单位等）控件暂不支持用户端，Office正文组件支持修改和批注</w:t>
      </w:r>
    </w:p>
    <w:p>
      <w:pPr>
        <w:numPr>
          <w:ilvl w:val="0"/>
          <w:numId w:val="92"/>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移动端支持公文签收、收发登记簿、公文收藏</w:t>
      </w:r>
    </w:p>
    <w:p>
      <w:pPr>
        <w:numPr>
          <w:ilvl w:val="0"/>
          <w:numId w:val="92"/>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移动公文整体效果</w:t>
      </w:r>
    </w:p>
    <w:p>
      <w:pPr>
        <w:numPr>
          <w:ilvl w:val="0"/>
          <w:numId w:val="86"/>
        </w:numPr>
        <w:kinsoku/>
        <w:wordWrap/>
        <w:topLinePunct w:val="0"/>
        <w:autoSpaceDE/>
        <w:autoSpaceDN/>
        <w:bidi w:val="0"/>
        <w:spacing w:line="560" w:lineRule="exact"/>
        <w:ind w:left="0" w:firstLine="604"/>
        <w:rPr>
          <w:rFonts w:ascii="方正仿宋_GBK" w:hAnsi="方正仿宋_GBK"/>
          <w:snapToGrid w:val="0"/>
        </w:rPr>
      </w:pPr>
      <w:r>
        <w:rPr>
          <w:rFonts w:hint="eastAsia" w:ascii="方正仿宋_GBK" w:hAnsi="方正仿宋_GBK"/>
          <w:snapToGrid w:val="0"/>
        </w:rPr>
        <w:t>我的收藏</w:t>
      </w:r>
    </w:p>
    <w:p>
      <w:pPr>
        <w:numPr>
          <w:ilvl w:val="0"/>
          <w:numId w:val="93"/>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新增我的收藏，构建每个人自己的知识库，随时随需查阅、使用，可以收藏新闻、公告、讨论、文档、协同、表单，构建个人知识库</w:t>
      </w:r>
    </w:p>
    <w:p>
      <w:pPr>
        <w:numPr>
          <w:ilvl w:val="0"/>
          <w:numId w:val="93"/>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可查看我的收藏</w:t>
      </w:r>
    </w:p>
    <w:p>
      <w:pPr>
        <w:numPr>
          <w:ilvl w:val="0"/>
          <w:numId w:val="93"/>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支持搜索和取消收藏</w:t>
      </w:r>
    </w:p>
    <w:p>
      <w:pPr>
        <w:numPr>
          <w:ilvl w:val="0"/>
          <w:numId w:val="86"/>
        </w:numPr>
        <w:kinsoku/>
        <w:wordWrap/>
        <w:topLinePunct w:val="0"/>
        <w:autoSpaceDE/>
        <w:autoSpaceDN/>
        <w:bidi w:val="0"/>
        <w:spacing w:line="560" w:lineRule="exact"/>
        <w:ind w:left="0" w:firstLine="604"/>
        <w:rPr>
          <w:rFonts w:ascii="方正仿宋_GBK" w:hAnsi="方正仿宋_GBK"/>
          <w:snapToGrid w:val="0"/>
        </w:rPr>
      </w:pPr>
      <w:r>
        <w:rPr>
          <w:rFonts w:hint="eastAsia" w:ascii="方正仿宋_GBK" w:hAnsi="方正仿宋_GBK"/>
          <w:snapToGrid w:val="0"/>
        </w:rPr>
        <w:t>互动讨论</w:t>
      </w:r>
    </w:p>
    <w:p>
      <w:pPr>
        <w:numPr>
          <w:ilvl w:val="0"/>
          <w:numId w:val="94"/>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移动端新增发起讨论，满足更多场景的讨论需求，随时随地与公司小伙伴互动</w:t>
      </w:r>
    </w:p>
    <w:p>
      <w:pPr>
        <w:numPr>
          <w:ilvl w:val="0"/>
          <w:numId w:val="94"/>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支持发起、查看、删除讨论</w:t>
      </w:r>
    </w:p>
    <w:p>
      <w:pPr>
        <w:numPr>
          <w:ilvl w:val="0"/>
          <w:numId w:val="94"/>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可评论、点赞、收藏讨论</w:t>
      </w:r>
    </w:p>
    <w:p>
      <w:pPr>
        <w:numPr>
          <w:ilvl w:val="0"/>
          <w:numId w:val="86"/>
        </w:numPr>
        <w:kinsoku/>
        <w:wordWrap/>
        <w:topLinePunct w:val="0"/>
        <w:autoSpaceDE/>
        <w:autoSpaceDN/>
        <w:bidi w:val="0"/>
        <w:spacing w:line="560" w:lineRule="exact"/>
        <w:ind w:left="0" w:firstLine="604"/>
        <w:rPr>
          <w:rFonts w:ascii="方正仿宋_GBK" w:hAnsi="方正仿宋_GBK"/>
          <w:snapToGrid w:val="0"/>
        </w:rPr>
      </w:pPr>
      <w:r>
        <w:rPr>
          <w:rFonts w:hint="eastAsia" w:ascii="方正仿宋_GBK" w:hAnsi="方正仿宋_GBK"/>
          <w:snapToGrid w:val="0"/>
        </w:rPr>
        <w:t>新闻公告</w:t>
      </w:r>
    </w:p>
    <w:p>
      <w:pPr>
        <w:numPr>
          <w:ilvl w:val="0"/>
          <w:numId w:val="95"/>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可随时随地查看新闻、公告，了解公司动态，并支持水印保证安全性</w:t>
      </w:r>
    </w:p>
    <w:p>
      <w:pPr>
        <w:numPr>
          <w:ilvl w:val="0"/>
          <w:numId w:val="95"/>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可查看新闻公告</w:t>
      </w:r>
    </w:p>
    <w:p>
      <w:pPr>
        <w:numPr>
          <w:ilvl w:val="0"/>
          <w:numId w:val="95"/>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可评论、点赞和收藏</w:t>
      </w:r>
    </w:p>
    <w:p>
      <w:pPr>
        <w:numPr>
          <w:ilvl w:val="0"/>
          <w:numId w:val="86"/>
        </w:numPr>
        <w:kinsoku/>
        <w:wordWrap/>
        <w:topLinePunct w:val="0"/>
        <w:autoSpaceDE/>
        <w:autoSpaceDN/>
        <w:bidi w:val="0"/>
        <w:spacing w:line="560" w:lineRule="exact"/>
        <w:ind w:left="0" w:firstLine="604"/>
        <w:rPr>
          <w:rFonts w:ascii="方正仿宋_GBK" w:hAnsi="方正仿宋_GBK"/>
          <w:snapToGrid w:val="0"/>
        </w:rPr>
      </w:pPr>
      <w:r>
        <w:rPr>
          <w:rFonts w:hint="eastAsia" w:ascii="方正仿宋_GBK" w:hAnsi="方正仿宋_GBK"/>
          <w:snapToGrid w:val="0"/>
        </w:rPr>
        <w:t>行为绩效</w:t>
      </w:r>
    </w:p>
    <w:p>
      <w:pPr>
        <w:kinsoku/>
        <w:wordWrap/>
        <w:topLinePunct w:val="0"/>
        <w:autoSpaceDE/>
        <w:autoSpaceDN/>
        <w:bidi w:val="0"/>
        <w:spacing w:line="560" w:lineRule="exact"/>
        <w:ind w:firstLine="604"/>
        <w:rPr>
          <w:rFonts w:hint="eastAsia" w:ascii="方正仿宋_GBK" w:hAnsi="方正仿宋_GBK" w:eastAsia="方正仿宋_GBK"/>
          <w:snapToGrid w:val="0"/>
          <w:lang w:eastAsia="zh-CN"/>
        </w:rPr>
      </w:pPr>
      <w:r>
        <w:rPr>
          <w:rFonts w:hint="eastAsia" w:ascii="方正仿宋_GBK" w:hAnsi="方正仿宋_GBK"/>
          <w:snapToGrid w:val="0"/>
        </w:rPr>
        <w:t>通过对公司员工的日常工作考核维度，设置相关量化的考核指标并根据员工的日常工作数据进行精准的分析，使得每一名员工的实时工作情况得以展现</w:t>
      </w:r>
      <w:r>
        <w:rPr>
          <w:rFonts w:hint="eastAsia" w:ascii="方正仿宋_GBK" w:hAnsi="方正仿宋_GBK"/>
          <w:snapToGrid w:val="0"/>
          <w:lang w:eastAsia="zh-CN"/>
        </w:rPr>
        <w:t>。</w:t>
      </w:r>
    </w:p>
    <w:p>
      <w:pPr>
        <w:kinsoku/>
        <w:wordWrap/>
        <w:topLinePunct w:val="0"/>
        <w:autoSpaceDE/>
        <w:autoSpaceDN/>
        <w:bidi w:val="0"/>
        <w:spacing w:line="560" w:lineRule="exact"/>
        <w:ind w:firstLine="604"/>
        <w:rPr>
          <w:rFonts w:hint="eastAsia" w:ascii="方正仿宋_GBK" w:hAnsi="方正仿宋_GBK"/>
          <w:snapToGrid w:val="0"/>
          <w:lang w:eastAsia="zh-CN"/>
        </w:rPr>
      </w:pPr>
      <w:r>
        <w:rPr>
          <w:rFonts w:hint="eastAsia" w:ascii="方正仿宋_GBK" w:hAnsi="方正仿宋_GBK"/>
          <w:snapToGrid w:val="0"/>
        </w:rPr>
        <w:t>领导可以实时掌握下属员工的工作行为绩效，指导员工的日程工作行为，改进企业的工作流程和管理模式，提升员工的工作效率</w:t>
      </w:r>
      <w:r>
        <w:rPr>
          <w:rFonts w:hint="eastAsia" w:ascii="方正仿宋_GBK" w:hAnsi="方正仿宋_GBK"/>
          <w:snapToGrid w:val="0"/>
          <w:lang w:eastAsia="zh-CN"/>
        </w:rPr>
        <w:t>。</w:t>
      </w:r>
    </w:p>
    <w:p>
      <w:pPr>
        <w:kinsoku/>
        <w:wordWrap/>
        <w:topLinePunct w:val="0"/>
        <w:autoSpaceDE/>
        <w:autoSpaceDN/>
        <w:bidi w:val="0"/>
        <w:spacing w:line="560" w:lineRule="exact"/>
        <w:ind w:firstLine="604"/>
        <w:rPr>
          <w:rFonts w:hint="eastAsia" w:ascii="方正仿宋_GBK" w:hAnsi="方正仿宋_GBK" w:eastAsia="方正仿宋_GBK"/>
          <w:snapToGrid w:val="0"/>
          <w:lang w:eastAsia="zh-CN"/>
        </w:rPr>
      </w:pPr>
      <w:r>
        <w:rPr>
          <w:rFonts w:hint="eastAsia" w:ascii="方正仿宋_GBK" w:hAnsi="方正仿宋_GBK"/>
          <w:snapToGrid w:val="0"/>
        </w:rPr>
        <w:t>员工通过行为绩效可以了解自己的日常工作情况，对比自己同工作伙伴的工作差距，积极调整工作方法，激发个人的工作热情，形成“比追赶 ”的工作风气进而带动整个企业的快速发展</w:t>
      </w:r>
      <w:r>
        <w:rPr>
          <w:rFonts w:hint="eastAsia" w:ascii="方正仿宋_GBK" w:hAnsi="方正仿宋_GBK"/>
          <w:snapToGrid w:val="0"/>
          <w:lang w:eastAsia="zh-CN"/>
        </w:rPr>
        <w:t>。</w:t>
      </w:r>
    </w:p>
    <w:p>
      <w:pPr>
        <w:numPr>
          <w:ilvl w:val="0"/>
          <w:numId w:val="86"/>
        </w:numPr>
        <w:kinsoku/>
        <w:wordWrap/>
        <w:topLinePunct w:val="0"/>
        <w:autoSpaceDE/>
        <w:autoSpaceDN/>
        <w:bidi w:val="0"/>
        <w:spacing w:line="560" w:lineRule="exact"/>
        <w:ind w:left="0" w:firstLine="604"/>
        <w:rPr>
          <w:rFonts w:ascii="方正仿宋_GBK" w:hAnsi="方正仿宋_GBK"/>
          <w:snapToGrid w:val="0"/>
        </w:rPr>
      </w:pPr>
      <w:r>
        <w:rPr>
          <w:rFonts w:hint="eastAsia" w:ascii="方正仿宋_GBK" w:hAnsi="方正仿宋_GBK"/>
          <w:snapToGrid w:val="0"/>
        </w:rPr>
        <w:t>分享空间</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分享空间适用于作为企业文化推广，更适用于：对于团队分享类、图片展示类的场景。例如：团队活动、产品图片展示、企业年会照片、读书体验感悟等。</w:t>
      </w:r>
    </w:p>
    <w:p>
      <w:pPr>
        <w:numPr>
          <w:ilvl w:val="0"/>
          <w:numId w:val="96"/>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企业全员参与的企业的文化建设利器，企业管理者文化活动的法宝</w:t>
      </w:r>
    </w:p>
    <w:p>
      <w:pPr>
        <w:numPr>
          <w:ilvl w:val="0"/>
          <w:numId w:val="96"/>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每一个员工可以分享自己在工作中的精彩瞬间</w:t>
      </w:r>
    </w:p>
    <w:p>
      <w:pPr>
        <w:numPr>
          <w:ilvl w:val="0"/>
          <w:numId w:val="96"/>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企业管理者可以轻松将企业各项活动的发布和成果“秀”到每一个员工的手中</w:t>
      </w:r>
    </w:p>
    <w:p>
      <w:pPr>
        <w:numPr>
          <w:ilvl w:val="0"/>
          <w:numId w:val="96"/>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大秀支持发布照片，文字和主题，分享，点赞等功能</w:t>
      </w:r>
    </w:p>
    <w:p>
      <w:pPr>
        <w:numPr>
          <w:ilvl w:val="0"/>
          <w:numId w:val="86"/>
        </w:numPr>
        <w:kinsoku/>
        <w:wordWrap/>
        <w:topLinePunct w:val="0"/>
        <w:autoSpaceDE/>
        <w:autoSpaceDN/>
        <w:bidi w:val="0"/>
        <w:spacing w:line="560" w:lineRule="exact"/>
        <w:ind w:left="0" w:firstLine="604"/>
        <w:rPr>
          <w:rFonts w:ascii="方正仿宋_GBK" w:hAnsi="方正仿宋_GBK"/>
          <w:snapToGrid w:val="0"/>
        </w:rPr>
      </w:pPr>
      <w:r>
        <w:rPr>
          <w:rFonts w:hint="eastAsia" w:ascii="方正仿宋_GBK" w:hAnsi="方正仿宋_GBK"/>
          <w:snapToGrid w:val="0"/>
        </w:rPr>
        <w:t>工作调查</w:t>
      </w:r>
    </w:p>
    <w:p>
      <w:pPr>
        <w:numPr>
          <w:ilvl w:val="0"/>
          <w:numId w:val="97"/>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方便企业全员随时随地参与到企业的各项工作调查</w:t>
      </w:r>
    </w:p>
    <w:p>
      <w:pPr>
        <w:numPr>
          <w:ilvl w:val="0"/>
          <w:numId w:val="97"/>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企业员工可以对公司发起的各项调查活动及时进行填单，保证整个调查的顺利进行和快速得到调查结果</w:t>
      </w:r>
    </w:p>
    <w:p>
      <w:pPr>
        <w:numPr>
          <w:ilvl w:val="0"/>
          <w:numId w:val="86"/>
        </w:numPr>
        <w:kinsoku/>
        <w:wordWrap/>
        <w:topLinePunct w:val="0"/>
        <w:autoSpaceDE/>
        <w:autoSpaceDN/>
        <w:bidi w:val="0"/>
        <w:spacing w:line="560" w:lineRule="exact"/>
        <w:ind w:left="0" w:firstLine="604"/>
        <w:rPr>
          <w:rFonts w:ascii="方正仿宋_GBK" w:hAnsi="方正仿宋_GBK"/>
          <w:snapToGrid w:val="0"/>
        </w:rPr>
      </w:pPr>
      <w:r>
        <w:rPr>
          <w:rFonts w:hint="eastAsia" w:ascii="方正仿宋_GBK" w:hAnsi="方正仿宋_GBK"/>
          <w:snapToGrid w:val="0"/>
        </w:rPr>
        <w:t>工资条</w:t>
      </w:r>
    </w:p>
    <w:p>
      <w:pPr>
        <w:numPr>
          <w:ilvl w:val="0"/>
          <w:numId w:val="98"/>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针对企业员工关心的自己的薪酬福利的发放，提供了工资条功能</w:t>
      </w:r>
    </w:p>
    <w:p>
      <w:pPr>
        <w:numPr>
          <w:ilvl w:val="0"/>
          <w:numId w:val="98"/>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企业员工可以</w:t>
      </w:r>
      <w:r>
        <w:rPr>
          <w:rFonts w:hint="eastAsia" w:ascii="方正仿宋_GBK" w:hAnsi="方正仿宋_GBK"/>
          <w:snapToGrid w:val="0"/>
          <w:lang w:eastAsia="zh-CN"/>
        </w:rPr>
        <w:t>清晰地查询</w:t>
      </w:r>
      <w:r>
        <w:rPr>
          <w:rFonts w:hint="eastAsia" w:ascii="方正仿宋_GBK" w:hAnsi="方正仿宋_GBK"/>
          <w:snapToGrid w:val="0"/>
        </w:rPr>
        <w:t>到自己当月以及全年的工资发放情况</w:t>
      </w:r>
    </w:p>
    <w:p>
      <w:pPr>
        <w:numPr>
          <w:ilvl w:val="0"/>
          <w:numId w:val="86"/>
        </w:numPr>
        <w:kinsoku/>
        <w:wordWrap/>
        <w:topLinePunct w:val="0"/>
        <w:autoSpaceDE/>
        <w:autoSpaceDN/>
        <w:bidi w:val="0"/>
        <w:spacing w:line="560" w:lineRule="exact"/>
        <w:ind w:left="0" w:firstLine="604"/>
        <w:rPr>
          <w:rFonts w:ascii="方正仿宋_GBK" w:hAnsi="方正仿宋_GBK"/>
          <w:snapToGrid w:val="0"/>
        </w:rPr>
      </w:pPr>
      <w:r>
        <w:rPr>
          <w:rFonts w:hint="eastAsia" w:ascii="方正仿宋_GBK" w:hAnsi="方正仿宋_GBK"/>
          <w:snapToGrid w:val="0"/>
        </w:rPr>
        <w:t>代理人设置</w:t>
      </w:r>
    </w:p>
    <w:p>
      <w:pPr>
        <w:numPr>
          <w:ilvl w:val="0"/>
          <w:numId w:val="99"/>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领导在移动端可以快速设置/更换代理人</w:t>
      </w:r>
    </w:p>
    <w:p>
      <w:pPr>
        <w:numPr>
          <w:ilvl w:val="0"/>
          <w:numId w:val="99"/>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设置入口 我的 &gt; 账号与安全 &gt; 代理人设置</w:t>
      </w:r>
    </w:p>
    <w:p>
      <w:pPr>
        <w:numPr>
          <w:ilvl w:val="0"/>
          <w:numId w:val="86"/>
        </w:numPr>
        <w:kinsoku/>
        <w:wordWrap/>
        <w:topLinePunct w:val="0"/>
        <w:autoSpaceDE/>
        <w:autoSpaceDN/>
        <w:bidi w:val="0"/>
        <w:spacing w:line="560" w:lineRule="exact"/>
        <w:ind w:left="0" w:firstLine="604"/>
        <w:rPr>
          <w:rFonts w:ascii="方正仿宋_GBK" w:hAnsi="方正仿宋_GBK"/>
          <w:snapToGrid w:val="0"/>
        </w:rPr>
      </w:pPr>
      <w:r>
        <w:rPr>
          <w:rFonts w:hint="eastAsia" w:ascii="方正仿宋_GBK" w:hAnsi="方正仿宋_GBK"/>
          <w:snapToGrid w:val="0"/>
        </w:rPr>
        <w:t>待办内容自定义</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对于待办首页</w:t>
      </w:r>
      <w:r>
        <w:rPr>
          <w:rFonts w:hint="eastAsia" w:ascii="方正仿宋_GBK" w:hAnsi="方正仿宋_GBK"/>
          <w:snapToGrid w:val="0"/>
          <w:lang w:eastAsia="zh-CN"/>
        </w:rPr>
        <w:t>无须</w:t>
      </w:r>
      <w:r>
        <w:rPr>
          <w:rFonts w:hint="eastAsia" w:ascii="方正仿宋_GBK" w:hAnsi="方正仿宋_GBK"/>
          <w:snapToGrid w:val="0"/>
        </w:rPr>
        <w:t>显示任务/日程的企事业单位，可通过自定义设置待办页面的任务/日程显示与否。</w:t>
      </w:r>
    </w:p>
    <w:p>
      <w:pPr>
        <w:numPr>
          <w:ilvl w:val="0"/>
          <w:numId w:val="100"/>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集团管理员</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可选择全集团是否显示任务/日程</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可设置是否允许单位管理员自定义</w:t>
      </w:r>
    </w:p>
    <w:p>
      <w:pPr>
        <w:numPr>
          <w:ilvl w:val="0"/>
          <w:numId w:val="100"/>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单位管理员</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集团管理员允许单位管理员自定义情况下，可设置本单位是否显示任务/日程</w:t>
      </w:r>
    </w:p>
    <w:p>
      <w:pPr>
        <w:numPr>
          <w:ilvl w:val="0"/>
          <w:numId w:val="86"/>
        </w:numPr>
        <w:kinsoku/>
        <w:wordWrap/>
        <w:topLinePunct w:val="0"/>
        <w:autoSpaceDE/>
        <w:autoSpaceDN/>
        <w:bidi w:val="0"/>
        <w:spacing w:line="560" w:lineRule="exact"/>
        <w:ind w:left="0" w:firstLine="604"/>
        <w:rPr>
          <w:rFonts w:ascii="方正仿宋_GBK" w:hAnsi="方正仿宋_GBK"/>
          <w:snapToGrid w:val="0"/>
        </w:rPr>
      </w:pPr>
      <w:r>
        <w:rPr>
          <w:rFonts w:hint="eastAsia" w:ascii="方正仿宋_GBK" w:hAnsi="方正仿宋_GBK"/>
          <w:snapToGrid w:val="0"/>
        </w:rPr>
        <w:t>领导行程</w:t>
      </w:r>
    </w:p>
    <w:p>
      <w:pPr>
        <w:numPr>
          <w:ilvl w:val="0"/>
          <w:numId w:val="101"/>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授权人员可快速了解领导工作安排，合理安排沟通事项</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维护便捷：可指定人员维护领导的日程，同步到时间视图。</w:t>
      </w:r>
    </w:p>
    <w:p>
      <w:pPr>
        <w:kinsoku/>
        <w:wordWrap/>
        <w:topLinePunct w:val="0"/>
        <w:autoSpaceDE/>
        <w:autoSpaceDN/>
        <w:bidi w:val="0"/>
        <w:spacing w:line="560" w:lineRule="exact"/>
        <w:ind w:left="604" w:leftChars="200" w:firstLine="0" w:firstLineChars="0"/>
        <w:rPr>
          <w:rFonts w:ascii="方正仿宋_GBK" w:hAnsi="方正仿宋_GBK"/>
          <w:snapToGrid w:val="0"/>
        </w:rPr>
      </w:pPr>
      <w:r>
        <w:rPr>
          <w:rFonts w:hint="eastAsia" w:ascii="方正仿宋_GBK" w:hAnsi="方正仿宋_GBK"/>
          <w:snapToGrid w:val="0"/>
        </w:rPr>
        <w:t>权限控制：可为每位领导分开授权行程的查看范围。</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展现方式多样：领导行程有独立菜单，也可配置为门户空间菜单或者栏目、磁贴。</w:t>
      </w:r>
    </w:p>
    <w:p>
      <w:pPr>
        <w:numPr>
          <w:ilvl w:val="0"/>
          <w:numId w:val="101"/>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按列表或时间视图查看领导行程，支持穿透到领导单人视图查看领导个人行程安排。</w:t>
      </w:r>
    </w:p>
    <w:p>
      <w:pPr>
        <w:numPr>
          <w:ilvl w:val="0"/>
          <w:numId w:val="101"/>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后台设置，指定领导及其行程的维护人员后台按领导批量授权维护人员和公开范围。</w:t>
      </w:r>
    </w:p>
    <w:p>
      <w:pPr>
        <w:numPr>
          <w:ilvl w:val="0"/>
          <w:numId w:val="101"/>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为单位管理员提供领导行程设置，可指定领导及其行程的维护人员，实现秘书为领导维护行程的场景。为领导授权维护人员，维护关系支持多对多，即一位秘书-多位领导、多位秘书-一位领导，若出现人员变动，支持批量修改维护人员，授权公开范围，按每位领导授权单位，部门，人员可见领导行程，支持批量授权公开范围。多种方式创建领导行程，支持Excel批量导入。</w:t>
      </w:r>
    </w:p>
    <w:p>
      <w:pPr>
        <w:numPr>
          <w:ilvl w:val="0"/>
          <w:numId w:val="86"/>
        </w:numPr>
        <w:kinsoku/>
        <w:wordWrap/>
        <w:topLinePunct w:val="0"/>
        <w:autoSpaceDE/>
        <w:autoSpaceDN/>
        <w:bidi w:val="0"/>
        <w:spacing w:line="560" w:lineRule="exact"/>
        <w:ind w:left="0" w:firstLine="604"/>
        <w:rPr>
          <w:rFonts w:ascii="方正仿宋_GBK" w:hAnsi="方正仿宋_GBK"/>
          <w:snapToGrid w:val="0"/>
        </w:rPr>
      </w:pPr>
      <w:r>
        <w:rPr>
          <w:rFonts w:hint="eastAsia" w:ascii="方正仿宋_GBK" w:hAnsi="方正仿宋_GBK"/>
          <w:snapToGrid w:val="0"/>
        </w:rPr>
        <w:t>员工日程</w:t>
      </w:r>
    </w:p>
    <w:p>
      <w:pPr>
        <w:numPr>
          <w:ilvl w:val="0"/>
          <w:numId w:val="102"/>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新增部门视图和他人视图整合显示他人的会议、任务、计划、事件和授权给我领导行程，部门视图显示主管部门内的人员的时间安排，他人视图可以显示组织内的人员的时间安排（自己选择），看板上显示数据支持筛选，可筛选事项类型；可筛选显示哪些人员，支持穿透查看单人的月安排，支持看板上新建领导行程，会议，计划，任务和事件。</w:t>
      </w:r>
    </w:p>
    <w:p>
      <w:pPr>
        <w:numPr>
          <w:ilvl w:val="0"/>
          <w:numId w:val="102"/>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移动端时间视图，查看他人时间安排更方便</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移动端时间视图支持列表和视图样式，他人视图可穿透到单人视图</w:t>
      </w:r>
    </w:p>
    <w:p>
      <w:pPr>
        <w:numPr>
          <w:ilvl w:val="0"/>
          <w:numId w:val="86"/>
        </w:numPr>
        <w:kinsoku/>
        <w:wordWrap/>
        <w:topLinePunct w:val="0"/>
        <w:autoSpaceDE/>
        <w:autoSpaceDN/>
        <w:bidi w:val="0"/>
        <w:spacing w:line="560" w:lineRule="exact"/>
        <w:ind w:left="0" w:firstLine="604"/>
        <w:rPr>
          <w:rFonts w:ascii="方正仿宋_GBK" w:hAnsi="方正仿宋_GBK"/>
          <w:snapToGrid w:val="0"/>
        </w:rPr>
      </w:pPr>
      <w:r>
        <w:rPr>
          <w:rFonts w:hint="eastAsia" w:ascii="方正仿宋_GBK" w:hAnsi="方正仿宋_GBK"/>
          <w:snapToGrid w:val="0"/>
        </w:rPr>
        <w:t>移动打印</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提供无线打印功能，无需安装驱动，与打印机在同一WIFI下可以连接打印机。</w:t>
      </w:r>
    </w:p>
    <w:p>
      <w:pPr>
        <w:numPr>
          <w:ilvl w:val="0"/>
          <w:numId w:val="86"/>
        </w:numPr>
        <w:kinsoku/>
        <w:wordWrap/>
        <w:topLinePunct w:val="0"/>
        <w:autoSpaceDE/>
        <w:autoSpaceDN/>
        <w:bidi w:val="0"/>
        <w:spacing w:line="560" w:lineRule="exact"/>
        <w:ind w:left="0" w:firstLine="604"/>
        <w:rPr>
          <w:rFonts w:ascii="方正仿宋_GBK" w:hAnsi="方正仿宋_GBK"/>
          <w:snapToGrid w:val="0"/>
        </w:rPr>
      </w:pPr>
      <w:r>
        <w:rPr>
          <w:rFonts w:hint="eastAsia" w:ascii="方正仿宋_GBK" w:hAnsi="方正仿宋_GBK"/>
          <w:snapToGrid w:val="0"/>
        </w:rPr>
        <w:t>防止截屏</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设置移动端防截屏，截屏记录事后可查系统管理员后台可控制开关，开启截屏控制；系统日志中记录人员的截屏操作日志。</w:t>
      </w:r>
    </w:p>
    <w:p>
      <w:pPr>
        <w:numPr>
          <w:ilvl w:val="0"/>
          <w:numId w:val="103"/>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苹果手机截屏后，弹出页面提示：截屏控制已开启，操作记入后台日志</w:t>
      </w:r>
    </w:p>
    <w:p>
      <w:pPr>
        <w:numPr>
          <w:ilvl w:val="0"/>
          <w:numId w:val="103"/>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安卓手机截屏，不可截屏，并且弹出提示：无法抓取屏幕信息，安卓手机可禁止截屏</w:t>
      </w:r>
    </w:p>
    <w:p>
      <w:pPr>
        <w:numPr>
          <w:ilvl w:val="0"/>
          <w:numId w:val="86"/>
        </w:numPr>
        <w:kinsoku/>
        <w:wordWrap/>
        <w:topLinePunct w:val="0"/>
        <w:autoSpaceDE/>
        <w:autoSpaceDN/>
        <w:bidi w:val="0"/>
        <w:spacing w:line="560" w:lineRule="exact"/>
        <w:ind w:left="0" w:firstLine="604"/>
        <w:rPr>
          <w:rFonts w:ascii="方正仿宋_GBK" w:hAnsi="方正仿宋_GBK"/>
          <w:snapToGrid w:val="0"/>
        </w:rPr>
      </w:pPr>
      <w:r>
        <w:rPr>
          <w:rFonts w:hint="eastAsia" w:ascii="方正仿宋_GBK" w:hAnsi="方正仿宋_GBK"/>
          <w:snapToGrid w:val="0"/>
        </w:rPr>
        <w:t>无线投屏</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无需数据线，手机投屏至电视大屏幕，在同一Wi-Fi下，无需通过数据线，即可实现手机/电脑的屏幕投放在会议室/办公区电视等大屏幕上。</w:t>
      </w:r>
    </w:p>
    <w:p>
      <w:pPr>
        <w:numPr>
          <w:ilvl w:val="0"/>
          <w:numId w:val="86"/>
        </w:numPr>
        <w:kinsoku/>
        <w:wordWrap/>
        <w:topLinePunct w:val="0"/>
        <w:autoSpaceDE/>
        <w:autoSpaceDN/>
        <w:bidi w:val="0"/>
        <w:spacing w:line="560" w:lineRule="exact"/>
        <w:ind w:left="0" w:firstLine="604"/>
        <w:rPr>
          <w:rFonts w:ascii="方正仿宋_GBK" w:hAnsi="方正仿宋_GBK"/>
          <w:snapToGrid w:val="0"/>
        </w:rPr>
      </w:pPr>
      <w:r>
        <w:rPr>
          <w:rFonts w:hint="eastAsia" w:ascii="方正仿宋_GBK" w:hAnsi="方正仿宋_GBK"/>
          <w:snapToGrid w:val="0"/>
        </w:rPr>
        <w:t>文件管理</w:t>
      </w:r>
    </w:p>
    <w:p>
      <w:pPr>
        <w:numPr>
          <w:ilvl w:val="0"/>
          <w:numId w:val="104"/>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文件管理：统一管理，支持收藏，方便用户查找</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我的文件：为方便查找已</w:t>
      </w:r>
      <w:r>
        <w:rPr>
          <w:rFonts w:hint="eastAsia" w:ascii="方正仿宋_GBK" w:hAnsi="方正仿宋_GBK"/>
          <w:snapToGrid w:val="0"/>
          <w:lang w:eastAsia="zh-CN"/>
        </w:rPr>
        <w:t>接收</w:t>
      </w:r>
      <w:r>
        <w:rPr>
          <w:rFonts w:hint="eastAsia" w:ascii="方正仿宋_GBK" w:hAnsi="方正仿宋_GBK"/>
          <w:snapToGrid w:val="0"/>
        </w:rPr>
        <w:t>/已发送文件，我的文件记录手机已查看文件全景记录，可按来源、文件名多维度搜索。</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我的收藏：文件进行收藏，纳入我的收藏中，更换手机不会丢失文件。</w:t>
      </w:r>
    </w:p>
    <w:p>
      <w:pPr>
        <w:numPr>
          <w:ilvl w:val="0"/>
          <w:numId w:val="104"/>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手机本地文件可方便地发送到移动端</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手机本地的外部文件可发送到移动端，例如：微信中客户发来的PPT方案可以快速发送到移动端中的同事。</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从外部文件→移动端：通过手机系统发送到移动端。</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从移动端聊天→选择外部文件：通过移动端选择外部文件。</w:t>
      </w:r>
    </w:p>
    <w:p>
      <w:pPr>
        <w:numPr>
          <w:ilvl w:val="0"/>
          <w:numId w:val="104"/>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权限许可下，可将移动端内文件发送到微信</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移动端中下载到手机本地的文件可发送到微信/QQ，例如：发送客户案例PPT到客户的微信。</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从移动端选择文件→发送到微信/QQ（系统管理员后台可开启，默认关闭、不显示微信/QQ）。</w:t>
      </w:r>
    </w:p>
    <w:p>
      <w:pPr>
        <w:numPr>
          <w:ilvl w:val="0"/>
          <w:numId w:val="86"/>
        </w:numPr>
        <w:kinsoku/>
        <w:wordWrap/>
        <w:topLinePunct w:val="0"/>
        <w:autoSpaceDE/>
        <w:autoSpaceDN/>
        <w:bidi w:val="0"/>
        <w:spacing w:line="560" w:lineRule="exact"/>
        <w:ind w:left="0" w:firstLine="604"/>
        <w:rPr>
          <w:rFonts w:ascii="方正仿宋_GBK" w:hAnsi="方正仿宋_GBK"/>
          <w:snapToGrid w:val="0"/>
        </w:rPr>
      </w:pPr>
      <w:r>
        <w:rPr>
          <w:rFonts w:hint="eastAsia" w:ascii="方正仿宋_GBK" w:hAnsi="方正仿宋_GBK"/>
          <w:snapToGrid w:val="0"/>
        </w:rPr>
        <w:t>移动APP安全登录及解锁</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移动平台支持企业账号和员工手机号两种登录模式。</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移动平台支持手势密码，指纹识别，人脸识别三种安全解锁登录模式。</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通过的APP安全登录与解锁为企业的“移动信息门户”增加了无形的“安全锁”。</w:t>
      </w:r>
    </w:p>
    <w:p>
      <w:pPr>
        <w:numPr>
          <w:ilvl w:val="0"/>
          <w:numId w:val="86"/>
        </w:numPr>
        <w:kinsoku/>
        <w:wordWrap/>
        <w:topLinePunct w:val="0"/>
        <w:autoSpaceDE/>
        <w:autoSpaceDN/>
        <w:bidi w:val="0"/>
        <w:spacing w:line="560" w:lineRule="exact"/>
        <w:ind w:left="0" w:firstLine="604"/>
        <w:rPr>
          <w:rFonts w:ascii="方正仿宋_GBK" w:hAnsi="方正仿宋_GBK"/>
          <w:snapToGrid w:val="0"/>
        </w:rPr>
      </w:pPr>
      <w:r>
        <w:rPr>
          <w:rFonts w:hint="eastAsia" w:ascii="方正仿宋_GBK" w:hAnsi="方正仿宋_GBK"/>
          <w:snapToGrid w:val="0"/>
        </w:rPr>
        <w:t>数据存储安全</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敏感数据加密存储，例如用户名、密码等敏感数据；文件加密存储，下载到本地的文件加密存储，打开文件时候解密，查看后的临时文件自动删除。</w:t>
      </w:r>
    </w:p>
    <w:p>
      <w:pPr>
        <w:pStyle w:val="8"/>
        <w:kinsoku/>
        <w:wordWrap/>
        <w:topLinePunct w:val="0"/>
        <w:autoSpaceDE/>
        <w:autoSpaceDN/>
        <w:bidi w:val="0"/>
        <w:spacing w:before="198" w:after="198" w:line="560" w:lineRule="exact"/>
      </w:pPr>
      <w:r>
        <w:rPr>
          <w:rFonts w:hint="eastAsia"/>
        </w:rPr>
        <w:t>电子签章</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电子签章它可以对文档进行签名，并将签名的图片显示在文档内，用户根据签名的图片，就可以知道签名身份，当点击图片，就可以验证签名。</w:t>
      </w:r>
    </w:p>
    <w:p>
      <w:pPr>
        <w:kinsoku/>
        <w:wordWrap/>
        <w:topLinePunct w:val="0"/>
        <w:autoSpaceDE/>
        <w:autoSpaceDN/>
        <w:bidi w:val="0"/>
        <w:spacing w:line="560" w:lineRule="exact"/>
        <w:ind w:firstLine="606"/>
        <w:rPr>
          <w:b/>
          <w:bCs/>
        </w:rPr>
      </w:pPr>
      <w:bookmarkStart w:id="324" w:name="_Toc10154924"/>
      <w:bookmarkStart w:id="325" w:name="_Toc121214008"/>
      <w:bookmarkStart w:id="326" w:name="_Toc122945025"/>
      <w:r>
        <w:rPr>
          <w:rFonts w:hint="eastAsia"/>
          <w:b/>
          <w:bCs/>
        </w:rPr>
        <w:t>1.定制签名戳</w:t>
      </w:r>
      <w:bookmarkEnd w:id="324"/>
      <w:bookmarkEnd w:id="325"/>
      <w:bookmarkEnd w:id="326"/>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在第一次使用文档签章前，需要定制签章。用户可以根据自己的喜好，选择那些经过扫描的手写签名、</w:t>
      </w:r>
      <w:r>
        <w:rPr>
          <w:rFonts w:hint="eastAsia" w:ascii="方正仿宋_GBK" w:hAnsi="方正仿宋_GBK"/>
          <w:snapToGrid w:val="0"/>
          <w:lang w:eastAsia="zh-CN"/>
        </w:rPr>
        <w:t>自己</w:t>
      </w:r>
      <w:r>
        <w:rPr>
          <w:rFonts w:hint="eastAsia" w:ascii="方正仿宋_GBK" w:hAnsi="方正仿宋_GBK"/>
          <w:snapToGrid w:val="0"/>
        </w:rPr>
        <w:t>的照片或自己的印章图片，作为文档签章的显示图标。同时，为图标增加对应的数字证书。</w:t>
      </w:r>
    </w:p>
    <w:p>
      <w:pPr>
        <w:kinsoku/>
        <w:wordWrap/>
        <w:topLinePunct w:val="0"/>
        <w:autoSpaceDE/>
        <w:autoSpaceDN/>
        <w:bidi w:val="0"/>
        <w:spacing w:line="560" w:lineRule="exact"/>
        <w:ind w:firstLine="606"/>
        <w:rPr>
          <w:b/>
          <w:bCs/>
        </w:rPr>
      </w:pPr>
      <w:bookmarkStart w:id="327" w:name="_Toc122945026"/>
      <w:bookmarkStart w:id="328" w:name="_Toc121214009"/>
      <w:bookmarkStart w:id="329" w:name="_Toc10154925"/>
      <w:r>
        <w:rPr>
          <w:rFonts w:hint="eastAsia"/>
          <w:b/>
          <w:bCs/>
        </w:rPr>
        <w:t>2.签名</w:t>
      </w:r>
      <w:bookmarkEnd w:id="327"/>
      <w:bookmarkEnd w:id="328"/>
      <w:bookmarkEnd w:id="329"/>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文档签章分为分段签名和全文签名，分段签名是文档内的某一部分进行签名，全文签名是对整个文档进行签名。在进行分段签名时，必须先选择被签名的内容，然后进行签名。签名时，需要选择签名的证书，选择事先添加的签章图标，并选择采用那种签名方式（分段还是全文）。确定后，点击签名，就可以产生一个文档签章图标。</w:t>
      </w:r>
    </w:p>
    <w:p>
      <w:pPr>
        <w:kinsoku/>
        <w:wordWrap/>
        <w:topLinePunct w:val="0"/>
        <w:autoSpaceDE/>
        <w:autoSpaceDN/>
        <w:bidi w:val="0"/>
        <w:spacing w:line="560" w:lineRule="exact"/>
        <w:ind w:firstLine="606"/>
        <w:rPr>
          <w:b/>
          <w:bCs/>
        </w:rPr>
      </w:pPr>
      <w:bookmarkStart w:id="330" w:name="_Toc121214010"/>
      <w:bookmarkStart w:id="331" w:name="_Toc122945027"/>
      <w:bookmarkStart w:id="332" w:name="_Toc10154926"/>
      <w:r>
        <w:rPr>
          <w:rFonts w:hint="eastAsia"/>
          <w:b/>
          <w:bCs/>
        </w:rPr>
        <w:t>3.验证</w:t>
      </w:r>
      <w:bookmarkEnd w:id="330"/>
      <w:bookmarkEnd w:id="331"/>
      <w:bookmarkEnd w:id="332"/>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在验证文档的签名有效性时，有两种验证方式，一种是双击图章验证，第二种是自动验证，自动验证主要在打开文档和保存文存时，系统将自动对文档中所签名的进行自动验证。</w:t>
      </w:r>
    </w:p>
    <w:p>
      <w:pPr>
        <w:kinsoku/>
        <w:wordWrap/>
        <w:topLinePunct w:val="0"/>
        <w:autoSpaceDE/>
        <w:autoSpaceDN/>
        <w:bidi w:val="0"/>
        <w:spacing w:line="560" w:lineRule="exact"/>
        <w:ind w:left="604" w:leftChars="200" w:firstLine="0" w:firstLineChars="0"/>
        <w:rPr>
          <w:rFonts w:ascii="方正仿宋_GBK" w:hAnsi="方正仿宋_GBK"/>
          <w:snapToGrid w:val="0"/>
        </w:rPr>
      </w:pPr>
      <w:r>
        <w:rPr>
          <w:rFonts w:hint="eastAsia" w:ascii="方正仿宋_GBK" w:hAnsi="方正仿宋_GBK"/>
          <w:snapToGrid w:val="0"/>
        </w:rPr>
        <w:t>（1）双击图章</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双击签名图章，将弹出验证签名的结果对话框，并可查看验证的具体信息，包括签名的时间，签名意见，签名的证书，制章证书。</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如果是选择签名和光标前内容签名，在word文档内将所签名的范围选定。</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如果验证失败，在相应的有一个红╳</w:t>
      </w:r>
      <w:r>
        <w:rPr>
          <w:rFonts w:hint="eastAsia" w:ascii="方正仿宋_GBK" w:hAnsi="方正仿宋_GBK"/>
          <w:snapToGrid w:val="0"/>
          <w:lang w:eastAsia="zh-CN"/>
        </w:rPr>
        <w:t>，</w:t>
      </w:r>
      <w:r>
        <w:rPr>
          <w:rFonts w:hint="eastAsia" w:ascii="方正仿宋_GBK" w:hAnsi="方正仿宋_GBK"/>
          <w:snapToGrid w:val="0"/>
        </w:rPr>
        <w:t>同时在图章中间将多一行横线，表示签名失效。</w:t>
      </w:r>
    </w:p>
    <w:p>
      <w:pPr>
        <w:kinsoku/>
        <w:wordWrap/>
        <w:topLinePunct w:val="0"/>
        <w:autoSpaceDE/>
        <w:autoSpaceDN/>
        <w:bidi w:val="0"/>
        <w:spacing w:line="560" w:lineRule="exact"/>
        <w:ind w:left="604" w:leftChars="200" w:firstLine="0" w:firstLineChars="0"/>
        <w:rPr>
          <w:rFonts w:ascii="方正仿宋_GBK" w:hAnsi="方正仿宋_GBK"/>
          <w:snapToGrid w:val="0"/>
        </w:rPr>
      </w:pPr>
      <w:r>
        <w:rPr>
          <w:rFonts w:hint="eastAsia" w:ascii="方正仿宋_GBK" w:hAnsi="方正仿宋_GBK"/>
          <w:snapToGrid w:val="0"/>
        </w:rPr>
        <w:t>（2）自动验证</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在签名好的文档中，打开文档时，系统将对每个图章进行自动验证，验证签名失效将在图章上多一行蓝色的横线。</w:t>
      </w:r>
    </w:p>
    <w:p>
      <w:pPr>
        <w:kinsoku/>
        <w:wordWrap/>
        <w:topLinePunct w:val="0"/>
        <w:autoSpaceDE/>
        <w:autoSpaceDN/>
        <w:bidi w:val="0"/>
        <w:spacing w:line="560" w:lineRule="exact"/>
        <w:ind w:firstLine="606"/>
        <w:rPr>
          <w:b/>
          <w:bCs/>
        </w:rPr>
      </w:pPr>
      <w:bookmarkStart w:id="333" w:name="_Toc10154927"/>
      <w:bookmarkStart w:id="334" w:name="_Toc122945028"/>
      <w:bookmarkStart w:id="335" w:name="_Toc121214011"/>
      <w:r>
        <w:rPr>
          <w:rFonts w:hint="eastAsia"/>
          <w:b/>
          <w:bCs/>
        </w:rPr>
        <w:t>4.删除签名</w:t>
      </w:r>
      <w:bookmarkEnd w:id="333"/>
      <w:bookmarkEnd w:id="334"/>
      <w:bookmarkEnd w:id="335"/>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删除签名只能从最后一位开始删除；</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删除签名时，必须有签名者的证书，才可删除签名。</w:t>
      </w:r>
    </w:p>
    <w:p>
      <w:pPr>
        <w:kinsoku/>
        <w:wordWrap/>
        <w:topLinePunct w:val="0"/>
        <w:autoSpaceDE/>
        <w:autoSpaceDN/>
        <w:bidi w:val="0"/>
        <w:spacing w:line="560" w:lineRule="exact"/>
        <w:ind w:firstLine="606"/>
        <w:rPr>
          <w:b/>
          <w:bCs/>
        </w:rPr>
      </w:pPr>
      <w:bookmarkStart w:id="336" w:name="_Toc121214012"/>
      <w:bookmarkStart w:id="337" w:name="_Toc122945029"/>
      <w:bookmarkStart w:id="338" w:name="_Toc10154928"/>
      <w:r>
        <w:rPr>
          <w:rFonts w:hint="eastAsia"/>
          <w:b/>
          <w:bCs/>
        </w:rPr>
        <w:t>5.重新签名</w:t>
      </w:r>
      <w:bookmarkEnd w:id="336"/>
      <w:bookmarkEnd w:id="337"/>
      <w:bookmarkEnd w:id="338"/>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当文档被签名人签名后，后又发现所签名的内容有误，签名人可以改正有误的地方，然后双击图章，选择重新签名，使更改的部分重新有效。</w:t>
      </w:r>
    </w:p>
    <w:p>
      <w:pPr>
        <w:kinsoku/>
        <w:wordWrap/>
        <w:topLinePunct w:val="0"/>
        <w:autoSpaceDE/>
        <w:autoSpaceDN/>
        <w:bidi w:val="0"/>
        <w:spacing w:line="560" w:lineRule="exact"/>
        <w:ind w:firstLine="606"/>
        <w:rPr>
          <w:b/>
          <w:bCs/>
        </w:rPr>
      </w:pPr>
      <w:bookmarkStart w:id="339" w:name="_Toc122945030"/>
      <w:bookmarkStart w:id="340" w:name="_Toc121214013"/>
      <w:bookmarkStart w:id="341" w:name="_Toc10154929"/>
      <w:r>
        <w:rPr>
          <w:rFonts w:hint="eastAsia"/>
          <w:b/>
          <w:bCs/>
        </w:rPr>
        <w:t>6.固定签名</w:t>
      </w:r>
      <w:bookmarkEnd w:id="339"/>
      <w:bookmarkEnd w:id="340"/>
      <w:bookmarkEnd w:id="341"/>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固定签名图章后，如果用户拖动图章，在保存时或打开文档时，图章将自动回到原来固定的地方。</w:t>
      </w:r>
    </w:p>
    <w:p>
      <w:pPr>
        <w:kinsoku/>
        <w:wordWrap/>
        <w:topLinePunct w:val="0"/>
        <w:autoSpaceDE/>
        <w:autoSpaceDN/>
        <w:bidi w:val="0"/>
        <w:spacing w:line="560" w:lineRule="exact"/>
        <w:ind w:firstLine="606"/>
        <w:rPr>
          <w:b/>
          <w:bCs/>
        </w:rPr>
      </w:pPr>
      <w:bookmarkStart w:id="342" w:name="_Toc122945031"/>
      <w:bookmarkStart w:id="343" w:name="_Toc10154930"/>
      <w:bookmarkStart w:id="344" w:name="_Toc121214014"/>
      <w:r>
        <w:rPr>
          <w:rFonts w:hint="eastAsia"/>
          <w:b/>
          <w:bCs/>
        </w:rPr>
        <w:t>7.文档锁定功能</w:t>
      </w:r>
      <w:bookmarkEnd w:id="342"/>
      <w:bookmarkEnd w:id="343"/>
      <w:bookmarkEnd w:id="344"/>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有签名的文档，当传送到没有安装文档签名的电脑上时，文档将自动锁定，文档的内容将只能读，不能更改或拷贝。</w:t>
      </w:r>
    </w:p>
    <w:p>
      <w:pPr>
        <w:kinsoku/>
        <w:wordWrap/>
        <w:topLinePunct w:val="0"/>
        <w:autoSpaceDE/>
        <w:autoSpaceDN/>
        <w:bidi w:val="0"/>
        <w:spacing w:line="560" w:lineRule="exact"/>
        <w:ind w:firstLine="606"/>
        <w:rPr>
          <w:b/>
          <w:bCs/>
        </w:rPr>
      </w:pPr>
      <w:r>
        <w:rPr>
          <w:rFonts w:hint="eastAsia"/>
          <w:b/>
          <w:bCs/>
        </w:rPr>
        <w:t>8.审批模式设计</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本方案推荐采用集中制证的模式。</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集中制证是指由管理员集中为用户录入注册信息，审核用户信息的真实性，将证书写入证书存储介质（通常为USB KEY），最后将制作好的证书分发给最终用户使用。为了减轻管理员的工作压力，此模式通常需要结合自动审批功能，并通过RA接口将用户证书申请信息从企业现有用户管理数据库中读取到RA，完成自动录入功能。</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管理员访问证书注册RA服务器Web页面，插入USB KEY，填写需要申请证书的用户名等基本信息，同时在USB KEY中生成一对密钥对，私钥保存在本地，公密钥连注册信息一起提交给RA服务器；</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RA服务器连接后台</w:t>
      </w:r>
      <w:r>
        <w:rPr>
          <w:rFonts w:hint="eastAsia" w:ascii="方正仿宋_GBK" w:hAnsi="方正仿宋_GBK"/>
          <w:snapToGrid w:val="0"/>
          <w:lang w:eastAsia="zh-CN"/>
        </w:rPr>
        <w:t>的账户</w:t>
      </w:r>
      <w:r>
        <w:rPr>
          <w:rFonts w:hint="eastAsia" w:ascii="方正仿宋_GBK" w:hAnsi="方正仿宋_GBK"/>
          <w:snapToGrid w:val="0"/>
        </w:rPr>
        <w:t>管理服务器，读取申请用户证书所需要的用户详细信息；</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管理员确认用户的详细信息，然后向CA服务器提交用户申请请求；</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CA服务器自动为用户签发数字证书，并将签发的证书返回给CA管理员，证书自动存储到USB KEY中；</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管理员将USB KEY发放给用户；</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在为用户颁发证书前，CA系统管理员需要对申请证书的用户身份进行鉴证，鉴证工作的主要目的是鉴别和验证用户的真实身份，确认用户是否具有申请证书的权限，以及将来证书是否真正发放到了真实的申请人的手中。</w:t>
      </w:r>
    </w:p>
    <w:p>
      <w:pPr>
        <w:pStyle w:val="8"/>
        <w:kinsoku/>
        <w:wordWrap/>
        <w:topLinePunct w:val="0"/>
        <w:autoSpaceDE/>
        <w:autoSpaceDN/>
        <w:bidi w:val="0"/>
        <w:spacing w:before="198" w:after="198" w:line="560" w:lineRule="exact"/>
      </w:pPr>
      <w:r>
        <w:rPr>
          <w:rFonts w:hint="eastAsia"/>
        </w:rPr>
        <w:t>车辆管理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内部用车进行使用登记、使用状态查询、车辆配置信息查询等；车辆管理是行政管理中的一项重要内容，实现对单位的车辆的登记、使用、维护、维修、保养、年检等进行管理；能够对维修、保养等费用情况进行查询和统计，还可以根据实际需求实现相关查询和统计功能。车辆管理人员可以通过本系统及时全面地了解本单位车辆的使用状况，以便进行车辆调派。</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车辆管理功能模块：车辆基础设置、车辆使用、车辆维护、车辆统计。</w:t>
      </w:r>
    </w:p>
    <w:p>
      <w:pPr>
        <w:kinsoku/>
        <w:wordWrap/>
        <w:topLinePunct w:val="0"/>
        <w:autoSpaceDE/>
        <w:autoSpaceDN/>
        <w:bidi w:val="0"/>
        <w:spacing w:line="560" w:lineRule="exact"/>
        <w:ind w:firstLine="606"/>
        <w:rPr>
          <w:b/>
          <w:bCs/>
        </w:rPr>
      </w:pPr>
      <w:bookmarkStart w:id="345" w:name="_Toc65760617"/>
      <w:bookmarkStart w:id="346" w:name="_Toc37427665"/>
      <w:r>
        <w:rPr>
          <w:rFonts w:hint="eastAsia"/>
          <w:b/>
          <w:bCs/>
        </w:rPr>
        <w:t>1.基础设置</w:t>
      </w:r>
      <w:bookmarkEnd w:id="345"/>
      <w:bookmarkEnd w:id="346"/>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基础设置包含车辆分类设置、车辆登记、驾驶员登记、审批流程设置、到期提醒设置等基础操作。</w:t>
      </w:r>
    </w:p>
    <w:p>
      <w:pPr>
        <w:kinsoku/>
        <w:wordWrap/>
        <w:topLinePunct w:val="0"/>
        <w:autoSpaceDE/>
        <w:autoSpaceDN/>
        <w:bidi w:val="0"/>
        <w:spacing w:line="560" w:lineRule="exact"/>
        <w:ind w:firstLine="604"/>
      </w:pPr>
      <w:r>
        <w:rPr>
          <w:rFonts w:hint="eastAsia"/>
        </w:rPr>
        <w:t>（1）车辆分类设置</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可以设置分类名称和车辆使用的范围。比如单位车辆的使用范围为人民企业，部门车辆的使用范围为某处室等。点击“使用范围”会调出组织架构进行处室选择。</w:t>
      </w:r>
    </w:p>
    <w:p>
      <w:pPr>
        <w:kinsoku/>
        <w:wordWrap/>
        <w:topLinePunct w:val="0"/>
        <w:autoSpaceDE/>
        <w:autoSpaceDN/>
        <w:bidi w:val="0"/>
        <w:spacing w:line="560" w:lineRule="exact"/>
        <w:ind w:firstLine="604"/>
      </w:pPr>
      <w:r>
        <w:rPr>
          <w:rFonts w:hint="eastAsia"/>
        </w:rPr>
        <w:t>（2）车辆登记</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车辆登记包括关于该辆车的基础信息，包括车的外形照片、车牌、车的品牌、型号、用油量、指定的司机等。</w:t>
      </w:r>
    </w:p>
    <w:p>
      <w:pPr>
        <w:kinsoku/>
        <w:wordWrap/>
        <w:topLinePunct w:val="0"/>
        <w:autoSpaceDE/>
        <w:autoSpaceDN/>
        <w:bidi w:val="0"/>
        <w:spacing w:line="560" w:lineRule="exact"/>
        <w:ind w:firstLine="604"/>
      </w:pPr>
      <w:r>
        <w:rPr>
          <w:rFonts w:hint="eastAsia"/>
        </w:rPr>
        <w:t>（3）驾驶员登记</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驾驶员登记，点击新建，会在下方弹出需要新增驾驶员的信息，系统支持2种驾驶员录入方式，一种是系统人员，可以直接在系统组织机构中选择，即在姓名一行点击可以在组织架构中选择单位内已经录入的人员作为驾驶员进行登记；一种是自建人员，可以自由填写驾驶人员的信息。</w:t>
      </w:r>
    </w:p>
    <w:p>
      <w:pPr>
        <w:kinsoku/>
        <w:wordWrap/>
        <w:topLinePunct w:val="0"/>
        <w:autoSpaceDE/>
        <w:autoSpaceDN/>
        <w:bidi w:val="0"/>
        <w:spacing w:line="560" w:lineRule="exact"/>
        <w:ind w:firstLine="604"/>
      </w:pPr>
      <w:r>
        <w:rPr>
          <w:rFonts w:hint="eastAsia"/>
        </w:rPr>
        <w:t>（4）用车审批流程设置</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在这里可以设置单位用车和部门用车的审批流程，及每个审批流程节点的权限。</w:t>
      </w:r>
    </w:p>
    <w:p>
      <w:pPr>
        <w:kinsoku/>
        <w:wordWrap/>
        <w:topLinePunct w:val="0"/>
        <w:autoSpaceDE/>
        <w:autoSpaceDN/>
        <w:bidi w:val="0"/>
        <w:spacing w:line="560" w:lineRule="exact"/>
        <w:ind w:firstLine="604"/>
      </w:pPr>
      <w:r>
        <w:rPr>
          <w:rFonts w:hint="eastAsia"/>
        </w:rPr>
        <w:t>（5）到期提醒设置</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车辆到期提醒设置可以设置车辆保养到期提醒时间、年检到期提醒时间、保险到期提醒时间、驾驶证到期提醒时间等信息。</w:t>
      </w:r>
    </w:p>
    <w:p>
      <w:pPr>
        <w:kinsoku/>
        <w:wordWrap/>
        <w:topLinePunct w:val="0"/>
        <w:autoSpaceDE/>
        <w:autoSpaceDN/>
        <w:bidi w:val="0"/>
        <w:spacing w:line="560" w:lineRule="exact"/>
        <w:ind w:firstLine="606"/>
        <w:rPr>
          <w:b/>
          <w:bCs/>
        </w:rPr>
      </w:pPr>
      <w:bookmarkStart w:id="347" w:name="_Toc37427666"/>
      <w:bookmarkStart w:id="348" w:name="_Toc65760618"/>
      <w:r>
        <w:rPr>
          <w:rFonts w:hint="eastAsia"/>
          <w:b/>
          <w:bCs/>
        </w:rPr>
        <w:t>2.车辆使用</w:t>
      </w:r>
      <w:bookmarkEnd w:id="347"/>
      <w:bookmarkEnd w:id="348"/>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车辆使用，包含直接派车、出车/还车、车辆申请、车辆审批4个功能，对车辆的使用情况进行详细跟踪记录。</w:t>
      </w:r>
    </w:p>
    <w:p>
      <w:pPr>
        <w:kinsoku/>
        <w:wordWrap/>
        <w:topLinePunct w:val="0"/>
        <w:autoSpaceDE/>
        <w:autoSpaceDN/>
        <w:bidi w:val="0"/>
        <w:spacing w:line="560" w:lineRule="exact"/>
        <w:ind w:firstLine="604"/>
      </w:pPr>
      <w:r>
        <w:rPr>
          <w:rFonts w:hint="eastAsia"/>
        </w:rPr>
        <w:t>（1）直接派车</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企业机关在需要一辆车特意为某个人或某件事去专项的协助办事时需要指派车，由领导指派，无需走审批流程。可以在车辆一栏选择目前可使用的空闲车辆。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当指派车辆派车成功，和出车时，用车人会收到系统提示消息。</w:t>
      </w:r>
    </w:p>
    <w:p>
      <w:pPr>
        <w:kinsoku/>
        <w:wordWrap/>
        <w:topLinePunct w:val="0"/>
        <w:autoSpaceDE/>
        <w:autoSpaceDN/>
        <w:bidi w:val="0"/>
        <w:spacing w:line="560" w:lineRule="exact"/>
        <w:ind w:firstLine="604"/>
      </w:pPr>
      <w:r>
        <w:rPr>
          <w:rFonts w:hint="eastAsia"/>
        </w:rPr>
        <w:t>（2）车辆申请</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车辆申请主要用于需要公务出差的人员进行自动申请车辆的情况，需要用车人填写车辆申请单，经过系统设定好的审批流程审批完成后方可以出车。</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车辆申请单中依然可以自己选择指定的空闲车辆和驾驶员信息，审批发起后，下一个节点的审批人员将会收到申请用车的提示，进行审批即可。</w:t>
      </w:r>
    </w:p>
    <w:p>
      <w:pPr>
        <w:kinsoku/>
        <w:wordWrap/>
        <w:topLinePunct w:val="0"/>
        <w:autoSpaceDE/>
        <w:autoSpaceDN/>
        <w:bidi w:val="0"/>
        <w:spacing w:line="560" w:lineRule="exact"/>
        <w:ind w:firstLine="604"/>
      </w:pPr>
      <w:r>
        <w:rPr>
          <w:rFonts w:hint="eastAsia"/>
        </w:rPr>
        <w:t>（3）车辆审批</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车辆审批主要是显示提交上来的用车申请，在此处进行审批，可以“同意”或“不同意”并填写审批意见等。</w:t>
      </w:r>
    </w:p>
    <w:p>
      <w:pPr>
        <w:kinsoku/>
        <w:wordWrap/>
        <w:topLinePunct w:val="0"/>
        <w:autoSpaceDE/>
        <w:autoSpaceDN/>
        <w:bidi w:val="0"/>
        <w:spacing w:line="560" w:lineRule="exact"/>
        <w:ind w:firstLine="604"/>
      </w:pPr>
      <w:r>
        <w:rPr>
          <w:rFonts w:hint="eastAsia"/>
        </w:rPr>
        <w:t>（4）出车/还车</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申请派车成功并出车的车辆记录将会显示在出车/还车列表内，在使用完车辆后，可以登录车辆管理系统进行还车操作。</w:t>
      </w:r>
    </w:p>
    <w:p>
      <w:pPr>
        <w:kinsoku/>
        <w:wordWrap/>
        <w:topLinePunct w:val="0"/>
        <w:autoSpaceDE/>
        <w:autoSpaceDN/>
        <w:bidi w:val="0"/>
        <w:spacing w:line="560" w:lineRule="exact"/>
        <w:ind w:firstLine="606"/>
        <w:rPr>
          <w:b/>
          <w:bCs/>
        </w:rPr>
      </w:pPr>
      <w:bookmarkStart w:id="349" w:name="_Toc37427667"/>
      <w:bookmarkStart w:id="350" w:name="_Toc65760619"/>
      <w:r>
        <w:rPr>
          <w:rFonts w:hint="eastAsia"/>
          <w:b/>
          <w:bCs/>
        </w:rPr>
        <w:t>3.车辆维护</w:t>
      </w:r>
      <w:bookmarkEnd w:id="349"/>
      <w:bookmarkEnd w:id="350"/>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车辆维护主要用于车辆的维修/保养、违章/事故处理，车辆的保险、年检等事项记录。</w:t>
      </w:r>
    </w:p>
    <w:p>
      <w:pPr>
        <w:kinsoku/>
        <w:wordWrap/>
        <w:topLinePunct w:val="0"/>
        <w:autoSpaceDE/>
        <w:autoSpaceDN/>
        <w:bidi w:val="0"/>
        <w:spacing w:line="560" w:lineRule="exact"/>
        <w:ind w:firstLine="604"/>
      </w:pPr>
      <w:r>
        <w:rPr>
          <w:rFonts w:hint="eastAsia"/>
        </w:rPr>
        <w:t>（1）维修/保养</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主要用于车辆的维修、保养记录。可以记录车辆维修/保养的送修时间、取回时间、费用、维修/保养项目内容等信息。</w:t>
      </w:r>
    </w:p>
    <w:p>
      <w:pPr>
        <w:kinsoku/>
        <w:wordWrap/>
        <w:topLinePunct w:val="0"/>
        <w:autoSpaceDE/>
        <w:autoSpaceDN/>
        <w:bidi w:val="0"/>
        <w:spacing w:line="560" w:lineRule="exact"/>
        <w:ind w:firstLine="604"/>
      </w:pPr>
      <w:r>
        <w:rPr>
          <w:rFonts w:hint="eastAsia"/>
        </w:rPr>
        <w:t>（2）违章/事故</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主要用于对车辆违章、事故类的事件进行登记。</w:t>
      </w:r>
    </w:p>
    <w:p>
      <w:pPr>
        <w:kinsoku/>
        <w:wordWrap/>
        <w:topLinePunct w:val="0"/>
        <w:autoSpaceDE/>
        <w:autoSpaceDN/>
        <w:bidi w:val="0"/>
        <w:spacing w:line="560" w:lineRule="exact"/>
        <w:ind w:firstLine="604"/>
      </w:pPr>
      <w:r>
        <w:rPr>
          <w:rFonts w:hint="eastAsia"/>
        </w:rPr>
        <w:t>（3）保险</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主要用于登记车辆的保险情况，作为车辆保险到期提醒设置的依据。</w:t>
      </w:r>
    </w:p>
    <w:p>
      <w:pPr>
        <w:kinsoku/>
        <w:wordWrap/>
        <w:topLinePunct w:val="0"/>
        <w:autoSpaceDE/>
        <w:autoSpaceDN/>
        <w:bidi w:val="0"/>
        <w:spacing w:line="560" w:lineRule="exact"/>
        <w:ind w:firstLine="604"/>
      </w:pPr>
      <w:r>
        <w:rPr>
          <w:rFonts w:hint="eastAsia"/>
        </w:rPr>
        <w:t>（4）年检</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主要用于记录车辆的年检情况，以作为下一次年检提醒的时依据。</w:t>
      </w:r>
    </w:p>
    <w:p>
      <w:pPr>
        <w:kinsoku/>
        <w:wordWrap/>
        <w:topLinePunct w:val="0"/>
        <w:autoSpaceDE/>
        <w:autoSpaceDN/>
        <w:bidi w:val="0"/>
        <w:spacing w:line="560" w:lineRule="exact"/>
        <w:ind w:firstLine="606"/>
        <w:rPr>
          <w:b/>
          <w:bCs/>
        </w:rPr>
      </w:pPr>
      <w:bookmarkStart w:id="351" w:name="_Toc37427668"/>
      <w:bookmarkStart w:id="352" w:name="_Toc65760620"/>
      <w:r>
        <w:rPr>
          <w:rFonts w:hint="eastAsia"/>
          <w:b/>
          <w:bCs/>
        </w:rPr>
        <w:t>4.车辆统计</w:t>
      </w:r>
      <w:bookmarkEnd w:id="351"/>
      <w:bookmarkEnd w:id="352"/>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车辆信息查询统计，申请人能够并仅能查询本人的申请单状况；部门领导能查询部门的申请单状态；单位领导能查单位的申请单状态。</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车辆使用统计：统计本单位当前登录人管理的车辆的使用记录。</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部门用车统计：统计本单位所有部门使用车辆的记录。</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驾驶员行驶统计：统计本单位驾驶员行驶车辆的记录。</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个人用车统计：按照人员统计使用车辆的记录。</w:t>
      </w:r>
    </w:p>
    <w:p>
      <w:pPr>
        <w:pStyle w:val="8"/>
        <w:kinsoku/>
        <w:wordWrap/>
        <w:topLinePunct w:val="0"/>
        <w:autoSpaceDE/>
        <w:autoSpaceDN/>
        <w:bidi w:val="0"/>
        <w:spacing w:before="198" w:after="198" w:line="560" w:lineRule="exact"/>
      </w:pPr>
      <w:r>
        <w:rPr>
          <w:rFonts w:hint="eastAsia"/>
        </w:rPr>
        <w:t>台账</w:t>
      </w:r>
      <w:r>
        <w:rPr>
          <w:rFonts w:hint="eastAsia"/>
          <w:lang w:val="en-US" w:eastAsia="zh-CN"/>
        </w:rPr>
        <w:t>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收发文台账、办公用品、车辆、会议室等台账自动生成。</w:t>
      </w:r>
    </w:p>
    <w:p>
      <w:pPr>
        <w:pStyle w:val="8"/>
        <w:kinsoku/>
        <w:wordWrap/>
        <w:topLinePunct w:val="0"/>
        <w:autoSpaceDE/>
        <w:autoSpaceDN/>
        <w:bidi w:val="0"/>
        <w:spacing w:before="198" w:after="198" w:line="560" w:lineRule="exact"/>
      </w:pPr>
      <w:r>
        <w:rPr>
          <w:rFonts w:hint="eastAsia"/>
        </w:rPr>
        <w:t>信息发布</w:t>
      </w:r>
    </w:p>
    <w:p>
      <w:pPr>
        <w:kinsoku/>
        <w:wordWrap/>
        <w:topLinePunct w:val="0"/>
        <w:autoSpaceDE/>
        <w:autoSpaceDN/>
        <w:bidi w:val="0"/>
        <w:spacing w:line="560" w:lineRule="exact"/>
        <w:ind w:firstLine="687"/>
        <w:rPr>
          <w:b/>
          <w:bCs/>
        </w:rPr>
      </w:pPr>
      <w:bookmarkStart w:id="353" w:name="_Toc83212774"/>
      <w:r>
        <w:rPr>
          <w:rFonts w:hint="eastAsia" w:ascii="方正仿宋_GBK" w:hAnsi="方正仿宋_GBK"/>
          <w:b/>
          <w:bCs/>
          <w:snapToGrid w:val="0"/>
          <w:sz w:val="32"/>
          <w:szCs w:val="32"/>
        </w:rPr>
        <w:t>1.</w:t>
      </w:r>
      <w:r>
        <w:rPr>
          <w:rFonts w:hint="eastAsia" w:ascii="方正仿宋_GBK" w:hAnsi="方正仿宋_GBK"/>
          <w:b/>
          <w:bCs/>
          <w:snapToGrid w:val="0"/>
          <w:sz w:val="28"/>
          <w:szCs w:val="28"/>
        </w:rPr>
        <w:t>新</w:t>
      </w:r>
      <w:r>
        <w:rPr>
          <w:rFonts w:hint="eastAsia"/>
          <w:b/>
          <w:bCs/>
          <w:sz w:val="28"/>
          <w:szCs w:val="28"/>
        </w:rPr>
        <w:t>闻</w:t>
      </w:r>
      <w:bookmarkEnd w:id="353"/>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用于发布新闻、查看新闻、新闻互动以及按条件查找已发的新闻，是组织内部传递文化、价值观与大事件的重要方式，能让员工及时感知单位的发展状况。</w:t>
      </w:r>
    </w:p>
    <w:p>
      <w:pPr>
        <w:kinsoku/>
        <w:wordWrap/>
        <w:topLinePunct w:val="0"/>
        <w:autoSpaceDE/>
        <w:autoSpaceDN/>
        <w:bidi w:val="0"/>
        <w:spacing w:line="560" w:lineRule="exact"/>
        <w:ind w:firstLine="604"/>
      </w:pPr>
      <w:r>
        <w:rPr>
          <w:rFonts w:hint="eastAsia"/>
        </w:rPr>
        <w:t>（1）发布新闻</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新闻管理员及授权用户创建新闻，并且能对自己发布的新闻进行修改、删除、发布等操作。</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新闻的正文类型，支持标准正文、Word正文、Excel正文、WPS文字、WPS表格、PDF正文六种正文格式，默认的是标准正文格式。</w:t>
      </w:r>
    </w:p>
    <w:p>
      <w:pPr>
        <w:kinsoku/>
        <w:wordWrap/>
        <w:topLinePunct w:val="0"/>
        <w:autoSpaceDE/>
        <w:autoSpaceDN/>
        <w:bidi w:val="0"/>
        <w:spacing w:line="560" w:lineRule="exact"/>
        <w:ind w:firstLine="604"/>
      </w:pPr>
      <w:r>
        <w:rPr>
          <w:rFonts w:hint="eastAsia"/>
        </w:rPr>
        <w:t>（2）新闻审核</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新闻审核员审核要发布的新闻，并且可以输入审核意见。</w:t>
      </w:r>
    </w:p>
    <w:p>
      <w:pPr>
        <w:kinsoku/>
        <w:wordWrap/>
        <w:topLinePunct w:val="0"/>
        <w:autoSpaceDE/>
        <w:autoSpaceDN/>
        <w:bidi w:val="0"/>
        <w:spacing w:line="560" w:lineRule="exact"/>
        <w:ind w:firstLine="604"/>
      </w:pPr>
      <w:r>
        <w:rPr>
          <w:rFonts w:hint="eastAsia"/>
        </w:rPr>
        <w:t>（3）查看新闻</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若发布的组织新闻，则组织下的所有人员都可以查看发布的新闻。若发布的单位新闻，则单位下的所有人员都可以查看发布的新闻。</w:t>
      </w:r>
    </w:p>
    <w:p>
      <w:pPr>
        <w:kinsoku/>
        <w:wordWrap/>
        <w:topLinePunct w:val="0"/>
        <w:autoSpaceDE/>
        <w:autoSpaceDN/>
        <w:bidi w:val="0"/>
        <w:spacing w:line="560" w:lineRule="exact"/>
        <w:ind w:firstLine="604"/>
      </w:pPr>
      <w:r>
        <w:rPr>
          <w:rFonts w:hint="eastAsia"/>
        </w:rPr>
        <w:t>（4）点赞和评论</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新闻互动的点赞和评论功能，使新闻不再以被动的方式去阅读，还是以主动的方式来参与到新闻当中</w:t>
      </w:r>
      <w:r>
        <w:rPr>
          <w:rFonts w:hint="eastAsia" w:ascii="方正仿宋_GBK" w:hAnsi="方正仿宋_GBK"/>
          <w:snapToGrid w:val="0"/>
          <w:lang w:eastAsia="zh-CN"/>
        </w:rPr>
        <w:t>：</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a.可以对版块进行设置，来控制该版块是否允许评论，默认允许；</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b.版块设置为允许评论后，该版块下的新闻在发起的时候还可以单独再次设置是否允许评论以及是否接收新评论通知；</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c.可以对整个新闻点赞、评论以及对新闻下的某个评论进行点赞和评论。</w:t>
      </w:r>
    </w:p>
    <w:p>
      <w:pPr>
        <w:kinsoku/>
        <w:wordWrap/>
        <w:topLinePunct w:val="0"/>
        <w:autoSpaceDE/>
        <w:autoSpaceDN/>
        <w:bidi w:val="0"/>
        <w:spacing w:line="560" w:lineRule="exact"/>
        <w:ind w:firstLine="604"/>
      </w:pPr>
      <w:r>
        <w:rPr>
          <w:rFonts w:hint="eastAsia"/>
        </w:rPr>
        <w:t>（5）新闻管理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新闻管理员管理版块内的新闻，可以将新闻归档、授权、删除等，按各系统预设的类型统计新闻、按各种类型查询发布的新闻等操作。</w:t>
      </w:r>
    </w:p>
    <w:p>
      <w:pPr>
        <w:kinsoku/>
        <w:wordWrap/>
        <w:topLinePunct w:val="0"/>
        <w:autoSpaceDE/>
        <w:autoSpaceDN/>
        <w:bidi w:val="0"/>
        <w:spacing w:line="560" w:lineRule="exact"/>
        <w:ind w:firstLine="606"/>
        <w:rPr>
          <w:b/>
          <w:bCs/>
        </w:rPr>
      </w:pPr>
      <w:bookmarkStart w:id="354" w:name="_Toc83212775"/>
      <w:r>
        <w:rPr>
          <w:rFonts w:hint="eastAsia"/>
          <w:b/>
          <w:bCs/>
        </w:rPr>
        <w:t>2.公告</w:t>
      </w:r>
      <w:bookmarkEnd w:id="354"/>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用于发布公告、查看公告、查看阅读情况，以及按条件查找已发的公告。使员工能及时了解单位的最新政策与各项制度通知。</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新增公告打印控制，允许打印的情况下，公告发起页面，默认选中允许打印。</w:t>
      </w:r>
    </w:p>
    <w:p>
      <w:pPr>
        <w:kinsoku/>
        <w:wordWrap/>
        <w:topLinePunct w:val="0"/>
        <w:autoSpaceDE/>
        <w:autoSpaceDN/>
        <w:bidi w:val="0"/>
        <w:spacing w:line="560" w:lineRule="exact"/>
        <w:ind w:firstLine="604"/>
      </w:pPr>
      <w:r>
        <w:rPr>
          <w:rFonts w:hint="eastAsia"/>
        </w:rPr>
        <w:t>（1）发布公告</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公告管理员及授权用户创建组织公告或者单位公告，并且能对自己发布的公告进行修改、删除、发布。</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公告的正文类型，支持标准正文、Word正文、Excel正文、WPS文字、WPS表格、PDF正文六种正文格式，默认的是标准正文格式。</w:t>
      </w:r>
    </w:p>
    <w:p>
      <w:pPr>
        <w:kinsoku/>
        <w:wordWrap/>
        <w:topLinePunct w:val="0"/>
        <w:autoSpaceDE/>
        <w:autoSpaceDN/>
        <w:bidi w:val="0"/>
        <w:spacing w:line="560" w:lineRule="exact"/>
        <w:ind w:firstLine="604"/>
      </w:pPr>
      <w:r>
        <w:rPr>
          <w:rFonts w:hint="eastAsia"/>
        </w:rPr>
        <w:t>（2）我发起的</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我发起的所有公告，可对“我发起的”公告进行修改、删除、发布、查询等操作。其中，可通过标题、版块、发布部门、发起时间、状态等进行查询。</w:t>
      </w:r>
    </w:p>
    <w:p>
      <w:pPr>
        <w:kinsoku/>
        <w:wordWrap/>
        <w:topLinePunct w:val="0"/>
        <w:autoSpaceDE/>
        <w:autoSpaceDN/>
        <w:bidi w:val="0"/>
        <w:spacing w:line="560" w:lineRule="exact"/>
        <w:ind w:firstLine="604"/>
      </w:pPr>
      <w:r>
        <w:rPr>
          <w:rFonts w:hint="eastAsia"/>
        </w:rPr>
        <w:t>（3）</w:t>
      </w:r>
      <w:r>
        <w:rPr>
          <w:rFonts w:hint="eastAsia"/>
          <w:lang w:val="en-US" w:eastAsia="zh-CN"/>
        </w:rPr>
        <w:t>内部</w:t>
      </w:r>
      <w:r>
        <w:rPr>
          <w:rFonts w:hint="eastAsia"/>
        </w:rPr>
        <w:t>公告审核</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lang w:val="en-US" w:eastAsia="zh-CN"/>
        </w:rPr>
        <w:t>内部</w:t>
      </w:r>
      <w:r>
        <w:rPr>
          <w:rFonts w:hint="eastAsia" w:ascii="方正仿宋_GBK" w:hAnsi="方正仿宋_GBK"/>
          <w:snapToGrid w:val="0"/>
        </w:rPr>
        <w:t>公告审核员审核要发布的公告，并且可以输入审核意见。审核意见有四种：</w:t>
      </w:r>
    </w:p>
    <w:p>
      <w:pPr>
        <w:kinsoku/>
        <w:wordWrap/>
        <w:topLinePunct w:val="0"/>
        <w:autoSpaceDE/>
        <w:autoSpaceDN/>
        <w:bidi w:val="0"/>
        <w:spacing w:line="560" w:lineRule="exact"/>
        <w:ind w:left="604" w:leftChars="200" w:firstLine="0" w:firstLineChars="0"/>
        <w:rPr>
          <w:rFonts w:ascii="方正仿宋_GBK" w:hAnsi="方正仿宋_GBK"/>
          <w:snapToGrid w:val="0"/>
        </w:rPr>
      </w:pPr>
      <w:r>
        <w:rPr>
          <w:rFonts w:hint="eastAsia" w:ascii="方正仿宋_GBK" w:hAnsi="方正仿宋_GBK"/>
          <w:snapToGrid w:val="0"/>
        </w:rPr>
        <w:t>【通过并发布】审核员直接发布公告。</w:t>
      </w:r>
    </w:p>
    <w:p>
      <w:pPr>
        <w:kinsoku/>
        <w:wordWrap/>
        <w:topLinePunct w:val="0"/>
        <w:autoSpaceDE/>
        <w:autoSpaceDN/>
        <w:bidi w:val="0"/>
        <w:spacing w:line="560" w:lineRule="exact"/>
        <w:ind w:left="604" w:leftChars="200" w:firstLine="0" w:firstLineChars="0"/>
        <w:rPr>
          <w:rFonts w:ascii="方正仿宋_GBK" w:hAnsi="方正仿宋_GBK"/>
          <w:snapToGrid w:val="0"/>
        </w:rPr>
      </w:pPr>
      <w:r>
        <w:rPr>
          <w:rFonts w:hint="eastAsia" w:ascii="方正仿宋_GBK" w:hAnsi="方正仿宋_GBK"/>
          <w:snapToGrid w:val="0"/>
        </w:rPr>
        <w:t>【通过】审核员审核通过该公告。</w:t>
      </w:r>
    </w:p>
    <w:p>
      <w:pPr>
        <w:kinsoku/>
        <w:wordWrap/>
        <w:topLinePunct w:val="0"/>
        <w:autoSpaceDE/>
        <w:autoSpaceDN/>
        <w:bidi w:val="0"/>
        <w:spacing w:line="560" w:lineRule="exact"/>
        <w:ind w:left="604" w:leftChars="200" w:firstLine="0" w:firstLineChars="0"/>
        <w:rPr>
          <w:rFonts w:ascii="方正仿宋_GBK" w:hAnsi="方正仿宋_GBK"/>
          <w:snapToGrid w:val="0"/>
        </w:rPr>
      </w:pPr>
      <w:r>
        <w:rPr>
          <w:rFonts w:hint="eastAsia" w:ascii="方正仿宋_GBK" w:hAnsi="方正仿宋_GBK"/>
          <w:snapToGrid w:val="0"/>
        </w:rPr>
        <w:t>【不通过】审核员审核不通过该公告。</w:t>
      </w:r>
    </w:p>
    <w:p>
      <w:pPr>
        <w:kinsoku/>
        <w:wordWrap/>
        <w:topLinePunct w:val="0"/>
        <w:autoSpaceDE/>
        <w:autoSpaceDN/>
        <w:bidi w:val="0"/>
        <w:spacing w:line="560" w:lineRule="exact"/>
        <w:ind w:firstLine="604"/>
        <w:rPr>
          <w:rFonts w:hint="eastAsia" w:ascii="Times New Roman" w:hAnsi="Times New Roman"/>
          <w:snapToGrid w:val="0"/>
        </w:rPr>
      </w:pPr>
      <w:r>
        <w:rPr>
          <w:rFonts w:hint="eastAsia" w:ascii="Times New Roman" w:hAnsi="Times New Roman"/>
          <w:snapToGrid w:val="0"/>
        </w:rPr>
        <w:t>【取消审核】审核员对审核通过的公告取消其通过资格，还原为待审核状态。</w:t>
      </w:r>
    </w:p>
    <w:p>
      <w:pPr>
        <w:kinsoku/>
        <w:wordWrap/>
        <w:topLinePunct w:val="0"/>
        <w:autoSpaceDE/>
        <w:autoSpaceDN/>
        <w:bidi w:val="0"/>
        <w:spacing w:line="560" w:lineRule="exact"/>
        <w:ind w:firstLine="604"/>
      </w:pPr>
      <w:r>
        <w:rPr>
          <w:rFonts w:hint="eastAsia"/>
        </w:rPr>
        <w:t>（4）</w:t>
      </w:r>
      <w:r>
        <w:rPr>
          <w:rFonts w:hint="eastAsia"/>
          <w:lang w:val="en-US" w:eastAsia="zh-CN"/>
        </w:rPr>
        <w:t>外部信息公开审批管理</w:t>
      </w:r>
    </w:p>
    <w:p>
      <w:pPr>
        <w:kinsoku/>
        <w:wordWrap/>
        <w:topLinePunct w:val="0"/>
        <w:autoSpaceDE/>
        <w:autoSpaceDN/>
        <w:bidi w:val="0"/>
        <w:spacing w:line="560" w:lineRule="exact"/>
        <w:ind w:firstLine="604"/>
        <w:rPr>
          <w:rFonts w:hint="default" w:eastAsia="方正仿宋_GBK"/>
          <w:lang w:val="en-US" w:eastAsia="zh-CN"/>
        </w:rPr>
      </w:pPr>
      <w:r>
        <w:rPr>
          <w:rFonts w:hint="eastAsia"/>
          <w:lang w:val="en-US" w:eastAsia="zh-CN"/>
        </w:rPr>
        <w:t>支持</w:t>
      </w:r>
      <w:r>
        <w:rPr>
          <w:rFonts w:hint="eastAsia" w:ascii="Times New Roman" w:hAnsi="Times New Roman"/>
          <w:snapToGrid w:val="0"/>
          <w:lang w:val="en-US" w:eastAsia="zh-CN"/>
        </w:rPr>
        <w:t>对于</w:t>
      </w:r>
      <w:r>
        <w:rPr>
          <w:rFonts w:hint="eastAsia"/>
          <w:lang w:val="en-US" w:eastAsia="zh-CN"/>
        </w:rPr>
        <w:t>需对外公开的相关信息提请审批流程，根据审批流程节点流转到具体审批人，审批人可对该条审批信息进行审批通过、审批不通过后回退并填写审批意见，能够满足集团对于对外公开信息的严格审核要求。</w:t>
      </w:r>
    </w:p>
    <w:p>
      <w:pPr>
        <w:kinsoku/>
        <w:wordWrap/>
        <w:topLinePunct w:val="0"/>
        <w:autoSpaceDE/>
        <w:autoSpaceDN/>
        <w:bidi w:val="0"/>
        <w:spacing w:line="560" w:lineRule="exact"/>
        <w:ind w:firstLine="604"/>
      </w:pPr>
      <w:r>
        <w:rPr>
          <w:rFonts w:hint="eastAsia"/>
        </w:rPr>
        <w:t>（</w:t>
      </w:r>
      <w:r>
        <w:rPr>
          <w:rFonts w:hint="eastAsia"/>
          <w:lang w:val="en-US" w:eastAsia="zh-CN"/>
        </w:rPr>
        <w:t>5</w:t>
      </w:r>
      <w:r>
        <w:rPr>
          <w:rFonts w:hint="eastAsia"/>
        </w:rPr>
        <w:t>）查看公告</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发布范围内的人员、不在发布范围的管理员、不在发布范围审核通过或者审核通过并发布的审核员可查看已经发布的公告。</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通过右上角的搜索框，可以对公告的标题、发布人、发布部门、发布时间等条件进行信息检索。</w:t>
      </w:r>
    </w:p>
    <w:p>
      <w:pPr>
        <w:kinsoku/>
        <w:wordWrap/>
        <w:topLinePunct w:val="0"/>
        <w:autoSpaceDE/>
        <w:autoSpaceDN/>
        <w:bidi w:val="0"/>
        <w:spacing w:line="560" w:lineRule="exact"/>
        <w:ind w:firstLine="604"/>
      </w:pPr>
      <w:r>
        <w:rPr>
          <w:rFonts w:hint="eastAsia"/>
        </w:rPr>
        <w:t>（</w:t>
      </w:r>
      <w:r>
        <w:rPr>
          <w:rFonts w:hint="eastAsia"/>
          <w:lang w:val="en-US" w:eastAsia="zh-CN"/>
        </w:rPr>
        <w:t>6</w:t>
      </w:r>
      <w:r>
        <w:rPr>
          <w:rFonts w:hint="eastAsia"/>
        </w:rPr>
        <w:t>）公告管理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公告管理员管理版块内的公告，可以将公告归档、授权、删除，按照系统预设的类型统计公告、按各种类型查询发布的公告等操作。</w:t>
      </w:r>
    </w:p>
    <w:p>
      <w:pPr>
        <w:kinsoku/>
        <w:wordWrap/>
        <w:topLinePunct w:val="0"/>
        <w:autoSpaceDE/>
        <w:autoSpaceDN/>
        <w:bidi w:val="0"/>
        <w:spacing w:line="560" w:lineRule="exact"/>
        <w:ind w:firstLine="606"/>
        <w:rPr>
          <w:b/>
          <w:bCs/>
        </w:rPr>
      </w:pPr>
      <w:bookmarkStart w:id="355" w:name="_Toc83212778"/>
      <w:r>
        <w:rPr>
          <w:rFonts w:hint="eastAsia"/>
          <w:b/>
          <w:bCs/>
        </w:rPr>
        <w:t>3.部门文化建设</w:t>
      </w:r>
      <w:bookmarkEnd w:id="355"/>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部门文化建设包括部门公告和部门讨论，当人员所处的部门，上级部门，和兼职单位的兼职部门开启部门空间后出现部门文化建设功能。</w:t>
      </w:r>
    </w:p>
    <w:p>
      <w:pPr>
        <w:kinsoku/>
        <w:wordWrap/>
        <w:topLinePunct w:val="0"/>
        <w:autoSpaceDE/>
        <w:autoSpaceDN/>
        <w:bidi w:val="0"/>
        <w:spacing w:line="560" w:lineRule="exact"/>
        <w:ind w:firstLine="604"/>
      </w:pPr>
      <w:r>
        <w:rPr>
          <w:rFonts w:hint="eastAsia"/>
        </w:rPr>
        <w:t>（1）部门公告</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部门主管和部门空间管理员具有发布部门公告的权限，可以编辑要发布的公告。发布的部门公告，只有本部门人员才能看到。</w:t>
      </w:r>
    </w:p>
    <w:p>
      <w:pPr>
        <w:kinsoku/>
        <w:wordWrap/>
        <w:topLinePunct w:val="0"/>
        <w:autoSpaceDE/>
        <w:autoSpaceDN/>
        <w:bidi w:val="0"/>
        <w:spacing w:line="560" w:lineRule="exact"/>
        <w:ind w:firstLine="604"/>
      </w:pPr>
      <w:r>
        <w:rPr>
          <w:rFonts w:hint="eastAsia"/>
        </w:rPr>
        <w:t>（2）部门讨论</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本部门和本部门的下级部门的所有人员、兼职到本部门的人员，及部门空间使用范围内的所有人员有发布部门讨论的权限。</w:t>
      </w:r>
    </w:p>
    <w:p>
      <w:pPr>
        <w:pStyle w:val="8"/>
        <w:kinsoku/>
        <w:wordWrap/>
        <w:topLinePunct w:val="0"/>
        <w:autoSpaceDE/>
        <w:autoSpaceDN/>
        <w:bidi w:val="0"/>
        <w:spacing w:before="198" w:after="198" w:line="560" w:lineRule="exact"/>
      </w:pPr>
      <w:r>
        <w:rPr>
          <w:rFonts w:hint="eastAsia"/>
        </w:rPr>
        <w:t>文档中心</w:t>
      </w:r>
    </w:p>
    <w:p>
      <w:pPr>
        <w:kinsoku/>
        <w:wordWrap/>
        <w:topLinePunct w:val="0"/>
        <w:autoSpaceDE/>
        <w:autoSpaceDN/>
        <w:bidi w:val="0"/>
        <w:spacing w:line="560" w:lineRule="exact"/>
        <w:ind w:firstLine="606"/>
        <w:rPr>
          <w:b/>
          <w:bCs/>
        </w:rPr>
      </w:pPr>
      <w:bookmarkStart w:id="356" w:name="_Toc33615232"/>
      <w:bookmarkStart w:id="357" w:name="_Toc83212781"/>
      <w:r>
        <w:rPr>
          <w:rFonts w:hint="eastAsia"/>
          <w:b/>
          <w:bCs/>
        </w:rPr>
        <w:t>1.层级管理</w:t>
      </w:r>
      <w:bookmarkEnd w:id="356"/>
      <w:bookmarkEnd w:id="357"/>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文档管理主要提供各类文档的类Windows资源管理器结构进行管理分类存储，不限层级。以便各部门人员快速、方便地查找到所要的文档。分类管理（目录管理）：即按树状目录的形式存放和标注一份文档知识它所处于的位置，使工作人员能以最快的速度能找到它利用它。</w:t>
      </w:r>
    </w:p>
    <w:p>
      <w:pPr>
        <w:kinsoku/>
        <w:wordWrap/>
        <w:topLinePunct w:val="0"/>
        <w:autoSpaceDE/>
        <w:autoSpaceDN/>
        <w:bidi w:val="0"/>
        <w:spacing w:line="560" w:lineRule="exact"/>
        <w:ind w:firstLine="606"/>
        <w:rPr>
          <w:b/>
          <w:bCs/>
        </w:rPr>
      </w:pPr>
      <w:bookmarkStart w:id="358" w:name="_Toc83212782"/>
      <w:bookmarkStart w:id="359" w:name="_Toc33615233"/>
      <w:r>
        <w:rPr>
          <w:rFonts w:hint="eastAsia"/>
          <w:b/>
          <w:bCs/>
        </w:rPr>
        <w:t>2.公共文档</w:t>
      </w:r>
      <w:bookmarkEnd w:id="358"/>
      <w:bookmarkEnd w:id="359"/>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企业产生的文档可根据需要归档至公共文档，并授权给相关工作人员。每个单位具有分级的公共文档库，用户照分配的权限进行文件、资料的查阅。</w:t>
      </w:r>
    </w:p>
    <w:p>
      <w:pPr>
        <w:kinsoku/>
        <w:wordWrap/>
        <w:topLinePunct w:val="0"/>
        <w:autoSpaceDE/>
        <w:autoSpaceDN/>
        <w:bidi w:val="0"/>
        <w:spacing w:line="560" w:lineRule="exact"/>
        <w:ind w:firstLine="606"/>
        <w:rPr>
          <w:b/>
          <w:bCs/>
        </w:rPr>
      </w:pPr>
      <w:bookmarkStart w:id="360" w:name="_Toc33615234"/>
      <w:bookmarkStart w:id="361" w:name="_Toc83212783"/>
      <w:r>
        <w:rPr>
          <w:rFonts w:hint="eastAsia"/>
          <w:b/>
          <w:bCs/>
        </w:rPr>
        <w:t>3.个人文档</w:t>
      </w:r>
      <w:bookmarkEnd w:id="360"/>
      <w:bookmarkEnd w:id="361"/>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存储用户个人的文档，为个人收集保存不同来源的重要资料文档和信息提供分类共享管理；提供文件夹的建立，文件的建立修改和查询，支持文档和信息共享给其他人员，其他人员可以通过共享文件夹查看到共享给自己的文档和信息，但是不能删除，共享人可以随时取消资料的共享。</w:t>
      </w:r>
    </w:p>
    <w:p>
      <w:pPr>
        <w:kinsoku/>
        <w:wordWrap/>
        <w:topLinePunct w:val="0"/>
        <w:autoSpaceDE/>
        <w:autoSpaceDN/>
        <w:bidi w:val="0"/>
        <w:spacing w:line="560" w:lineRule="exact"/>
        <w:ind w:firstLine="606"/>
        <w:rPr>
          <w:b/>
          <w:bCs/>
        </w:rPr>
      </w:pPr>
      <w:bookmarkStart w:id="362" w:name="_Toc33615235"/>
      <w:bookmarkStart w:id="363" w:name="_Toc83212784"/>
      <w:r>
        <w:rPr>
          <w:rFonts w:hint="eastAsia"/>
          <w:b/>
          <w:bCs/>
        </w:rPr>
        <w:t>4.分类管理</w:t>
      </w:r>
      <w:bookmarkEnd w:id="362"/>
      <w:bookmarkEnd w:id="363"/>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按照网络化、信息化办公的要求，将业务处理过程中产生的各种文书档案资料自动归档保存到文档中心。并且可以和各单位已有的档案系统实现整合，实现跨系统的自动归档。</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文档中心是进行各种知识沉积过程具体指对现有的文档知识进行收集、整理、分类和管理的过程。它通常包含了</w:t>
      </w:r>
      <w:r>
        <w:rPr>
          <w:rFonts w:hint="eastAsia" w:ascii="方正仿宋_GBK" w:hAnsi="方正仿宋_GBK"/>
          <w:snapToGrid w:val="0"/>
          <w:lang w:eastAsia="zh-CN"/>
        </w:rPr>
        <w:t>隐性</w:t>
      </w:r>
      <w:r>
        <w:rPr>
          <w:rFonts w:hint="eastAsia" w:ascii="方正仿宋_GBK" w:hAnsi="方正仿宋_GBK"/>
          <w:snapToGrid w:val="0"/>
        </w:rPr>
        <w:t>知识显性化和显性知识综合化这两个模式的知识转化。并通过借阅，发送，订阅等方式进行知识的利用。</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我的文档</w:t>
      </w:r>
      <w:r>
        <w:rPr>
          <w:rFonts w:hint="eastAsia" w:ascii="方正仿宋_GBK" w:hAnsi="方正仿宋_GBK"/>
          <w:snapToGrid w:val="0"/>
          <w:lang w:eastAsia="zh-CN"/>
        </w:rPr>
        <w:t>：</w:t>
      </w:r>
      <w:r>
        <w:rPr>
          <w:rFonts w:hint="eastAsia" w:ascii="方正仿宋_GBK" w:hAnsi="方正仿宋_GBK"/>
          <w:snapToGrid w:val="0"/>
        </w:rPr>
        <w:t>存储用户个人的文档，提供文件夹的建立，文件的建立修改和查询。</w:t>
      </w:r>
    </w:p>
    <w:p>
      <w:pPr>
        <w:kinsoku/>
        <w:wordWrap/>
        <w:topLinePunct w:val="0"/>
        <w:autoSpaceDE/>
        <w:autoSpaceDN/>
        <w:bidi w:val="0"/>
        <w:spacing w:line="560" w:lineRule="exact"/>
        <w:ind w:firstLine="604"/>
        <w:rPr>
          <w:rFonts w:ascii="方正仿宋_GBK" w:hAnsi="方正仿宋_GBK"/>
          <w:snapToGrid w:val="0"/>
        </w:rPr>
      </w:pPr>
      <w:bookmarkStart w:id="364" w:name="_Toc113857083"/>
      <w:r>
        <w:rPr>
          <w:rFonts w:hint="eastAsia" w:ascii="方正仿宋_GBK" w:hAnsi="方正仿宋_GBK"/>
          <w:snapToGrid w:val="0"/>
        </w:rPr>
        <w:t>单位文档</w:t>
      </w:r>
      <w:bookmarkEnd w:id="364"/>
      <w:r>
        <w:rPr>
          <w:rFonts w:hint="eastAsia" w:ascii="方正仿宋_GBK" w:hAnsi="方正仿宋_GBK"/>
          <w:snapToGrid w:val="0"/>
          <w:lang w:eastAsia="zh-CN"/>
        </w:rPr>
        <w:t>：</w:t>
      </w:r>
      <w:r>
        <w:rPr>
          <w:rFonts w:hint="eastAsia" w:ascii="方正仿宋_GBK" w:hAnsi="方正仿宋_GBK"/>
          <w:snapToGrid w:val="0"/>
        </w:rPr>
        <w:t>存储单位的文档，提供文件夹的建立，文件的建立修改和查询。</w:t>
      </w:r>
    </w:p>
    <w:p>
      <w:pPr>
        <w:kinsoku/>
        <w:wordWrap/>
        <w:topLinePunct w:val="0"/>
        <w:autoSpaceDE/>
        <w:autoSpaceDN/>
        <w:bidi w:val="0"/>
        <w:spacing w:line="560" w:lineRule="exact"/>
        <w:ind w:firstLine="604"/>
        <w:rPr>
          <w:rFonts w:ascii="方正仿宋_GBK" w:hAnsi="方正仿宋_GBK"/>
          <w:snapToGrid w:val="0"/>
        </w:rPr>
      </w:pPr>
      <w:bookmarkStart w:id="365" w:name="_Toc113857084"/>
      <w:r>
        <w:rPr>
          <w:rFonts w:hint="eastAsia" w:ascii="方正仿宋_GBK" w:hAnsi="方正仿宋_GBK"/>
          <w:snapToGrid w:val="0"/>
        </w:rPr>
        <w:t>项目文档</w:t>
      </w:r>
      <w:bookmarkEnd w:id="365"/>
      <w:r>
        <w:rPr>
          <w:rFonts w:hint="eastAsia" w:ascii="方正仿宋_GBK" w:hAnsi="方正仿宋_GBK"/>
          <w:snapToGrid w:val="0"/>
          <w:lang w:eastAsia="zh-CN"/>
        </w:rPr>
        <w:t>：</w:t>
      </w:r>
      <w:bookmarkStart w:id="366" w:name="_Toc113838034"/>
      <w:bookmarkStart w:id="367" w:name="_Toc113803917"/>
      <w:bookmarkStart w:id="368" w:name="_Toc113838204"/>
      <w:r>
        <w:rPr>
          <w:rFonts w:hint="eastAsia" w:ascii="方正仿宋_GBK" w:hAnsi="方正仿宋_GBK"/>
          <w:snapToGrid w:val="0"/>
        </w:rPr>
        <w:t>增强对项目的管理，对项目文档进行独立的分类，形成以项目负责人为主导的项目文档管理体系。</w:t>
      </w:r>
      <w:bookmarkEnd w:id="366"/>
      <w:bookmarkEnd w:id="367"/>
      <w:bookmarkEnd w:id="368"/>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公文档案：公文档案用来进行公文文档的存储、归档，由公文档案库管理员进行管理。</w:t>
      </w:r>
    </w:p>
    <w:p>
      <w:pPr>
        <w:kinsoku/>
        <w:wordWrap/>
        <w:topLinePunct w:val="0"/>
        <w:autoSpaceDE/>
        <w:autoSpaceDN/>
        <w:bidi w:val="0"/>
        <w:spacing w:line="560" w:lineRule="exact"/>
        <w:ind w:firstLine="606"/>
        <w:rPr>
          <w:b/>
          <w:bCs/>
        </w:rPr>
      </w:pPr>
      <w:bookmarkStart w:id="369" w:name="_Toc83212785"/>
      <w:bookmarkStart w:id="370" w:name="_Toc33615236"/>
      <w:r>
        <w:rPr>
          <w:rFonts w:hint="eastAsia"/>
          <w:b/>
          <w:bCs/>
        </w:rPr>
        <w:t>5.权限管理</w:t>
      </w:r>
      <w:bookmarkEnd w:id="369"/>
      <w:bookmarkEnd w:id="370"/>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知识管理有严格的权限控制管理，被授权的用户可以具有文档的下载、打印、编辑等权限，文档查阅时可进行转发、转邮件等操作。</w:t>
      </w:r>
    </w:p>
    <w:p>
      <w:pPr>
        <w:kinsoku/>
        <w:wordWrap/>
        <w:topLinePunct w:val="0"/>
        <w:autoSpaceDE/>
        <w:autoSpaceDN/>
        <w:bidi w:val="0"/>
        <w:spacing w:line="560" w:lineRule="exact"/>
        <w:ind w:firstLine="606"/>
        <w:rPr>
          <w:b/>
          <w:bCs/>
        </w:rPr>
      </w:pPr>
      <w:bookmarkStart w:id="371" w:name="_Toc33615237"/>
      <w:bookmarkStart w:id="372" w:name="_Toc83212786"/>
      <w:r>
        <w:rPr>
          <w:rFonts w:hint="eastAsia"/>
          <w:b/>
          <w:bCs/>
        </w:rPr>
        <w:t>6.日志管理</w:t>
      </w:r>
      <w:bookmarkEnd w:id="371"/>
      <w:bookmarkEnd w:id="372"/>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系统支持日志管理，可以看到每篇文档的操作日志记录。</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通过知识平台可以统计工作人员对平台的使用情况以作为考核的参考。需要记录的信息如下：登陆的次数、浏览的次数、发布文档的数目（其中另计被推荐为精华级知识的数目）、搜索的关键字、发表评论的次数、订阅的内容及下载的知识</w:t>
      </w:r>
      <w:r>
        <w:rPr>
          <w:rFonts w:hint="eastAsia" w:ascii="方正仿宋_GBK" w:hAnsi="方正仿宋_GBK"/>
          <w:snapToGrid w:val="0"/>
          <w:lang w:eastAsia="zh-CN"/>
        </w:rPr>
        <w:t>记录</w:t>
      </w:r>
      <w:r>
        <w:rPr>
          <w:rFonts w:hint="eastAsia" w:ascii="方正仿宋_GBK" w:hAnsi="方正仿宋_GBK"/>
          <w:snapToGrid w:val="0"/>
        </w:rPr>
        <w:t>。</w:t>
      </w:r>
    </w:p>
    <w:p>
      <w:pPr>
        <w:pStyle w:val="8"/>
        <w:kinsoku/>
        <w:wordWrap/>
        <w:topLinePunct w:val="0"/>
        <w:autoSpaceDE/>
        <w:autoSpaceDN/>
        <w:bidi w:val="0"/>
        <w:spacing w:before="198" w:after="198" w:line="560" w:lineRule="exact"/>
      </w:pPr>
      <w:r>
        <w:rPr>
          <w:rFonts w:hint="eastAsia"/>
        </w:rPr>
        <w:t>审批中心</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审批中心对审批权限、审批流程设置进行统一管理。</w:t>
      </w:r>
    </w:p>
    <w:p>
      <w:pPr>
        <w:kinsoku/>
        <w:wordWrap/>
        <w:topLinePunct w:val="0"/>
        <w:autoSpaceDE/>
        <w:autoSpaceDN/>
        <w:bidi w:val="0"/>
        <w:spacing w:line="560" w:lineRule="exact"/>
        <w:ind w:firstLine="606"/>
        <w:rPr>
          <w:b/>
          <w:bCs/>
        </w:rPr>
      </w:pPr>
      <w:r>
        <w:rPr>
          <w:rFonts w:hint="eastAsia"/>
          <w:b/>
          <w:bCs/>
        </w:rPr>
        <w:t>1</w:t>
      </w:r>
      <w:r>
        <w:rPr>
          <w:b/>
          <w:bCs/>
        </w:rPr>
        <w:t>.</w:t>
      </w:r>
      <w:r>
        <w:rPr>
          <w:rFonts w:hint="eastAsia"/>
          <w:b/>
          <w:bCs/>
        </w:rPr>
        <w:t>权限管理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结合业务实际设置各类审批权限，可以对审批权限进行定义，设置权限类别、范围，并通过启用或停用审批权限为用户赋予一定的审批权限，可进行批量设置，可分类进行权限的查看。</w:t>
      </w:r>
    </w:p>
    <w:p>
      <w:pPr>
        <w:kinsoku/>
        <w:wordWrap/>
        <w:topLinePunct w:val="0"/>
        <w:autoSpaceDE/>
        <w:autoSpaceDN/>
        <w:bidi w:val="0"/>
        <w:spacing w:line="560" w:lineRule="exact"/>
        <w:ind w:firstLine="606"/>
        <w:rPr>
          <w:b/>
          <w:bCs/>
        </w:rPr>
      </w:pPr>
      <w:r>
        <w:rPr>
          <w:rFonts w:hint="eastAsia"/>
          <w:b/>
          <w:bCs/>
        </w:rPr>
        <w:t>2</w:t>
      </w:r>
      <w:r>
        <w:rPr>
          <w:b/>
          <w:bCs/>
        </w:rPr>
        <w:t>.</w:t>
      </w:r>
      <w:r>
        <w:rPr>
          <w:rFonts w:hint="eastAsia"/>
          <w:b/>
          <w:bCs/>
        </w:rPr>
        <w:t>流程设置</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管理员对板块授权及板块应用图标按钮顺序的调整。</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（1）配置管理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流程配置提供统一的视图管理，包括流程视图和视图。</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（2）流程设置</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以流程事件</w:t>
      </w:r>
      <w:r>
        <w:rPr>
          <w:rFonts w:ascii="方正仿宋_GBK" w:hAnsi="方正仿宋_GBK"/>
          <w:snapToGrid w:val="0"/>
        </w:rPr>
        <w:t>/</w:t>
      </w:r>
      <w:r>
        <w:rPr>
          <w:rFonts w:hint="eastAsia" w:ascii="方正仿宋_GBK" w:hAnsi="方正仿宋_GBK"/>
          <w:snapToGrid w:val="0"/>
        </w:rPr>
        <w:t>节点事件</w:t>
      </w:r>
      <w:r>
        <w:rPr>
          <w:rFonts w:ascii="方正仿宋_GBK" w:hAnsi="方正仿宋_GBK"/>
          <w:snapToGrid w:val="0"/>
        </w:rPr>
        <w:t>/</w:t>
      </w:r>
      <w:r>
        <w:rPr>
          <w:rFonts w:hint="eastAsia" w:ascii="方正仿宋_GBK" w:hAnsi="方正仿宋_GBK"/>
          <w:snapToGrid w:val="0"/>
        </w:rPr>
        <w:t>超级节点为主要手段设置流程。其中主推超级节点。</w:t>
      </w:r>
    </w:p>
    <w:p>
      <w:pPr>
        <w:kinsoku/>
        <w:wordWrap/>
        <w:topLinePunct w:val="0"/>
        <w:autoSpaceDE/>
        <w:autoSpaceDN/>
        <w:bidi w:val="0"/>
        <w:spacing w:line="560" w:lineRule="exact"/>
        <w:ind w:firstLine="604"/>
        <w:rPr>
          <w:rFonts w:ascii="Times New Roman" w:hAnsi="Times New Roman"/>
          <w:snapToGrid w:val="0"/>
        </w:rPr>
      </w:pPr>
      <w:r>
        <w:rPr>
          <w:rFonts w:hint="eastAsia" w:ascii="方正仿宋_GBK" w:hAnsi="方正仿宋_GBK"/>
          <w:snapToGrid w:val="0"/>
        </w:rPr>
        <w:t>超级节点作为非审核类业务节点，不仅为流程增加了业务流程的特性，还规避了跨系统事务问题，强化了的可</w:t>
      </w:r>
      <w:r>
        <w:rPr>
          <w:rFonts w:hint="eastAsia" w:ascii="Times New Roman" w:hAnsi="Times New Roman"/>
          <w:snapToGrid w:val="0"/>
        </w:rPr>
        <w:t>靠性和稳定性。主要有以下特性：</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两个分离：将第三方应用调用的任务与任务节点分离，将任务节点与审批节点分离。</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超级节点任务：超级节点任务作为独立执行任务，支持接口</w:t>
      </w:r>
      <w:r>
        <w:rPr>
          <w:rFonts w:ascii="方正仿宋_GBK" w:hAnsi="方正仿宋_GBK"/>
          <w:snapToGrid w:val="0"/>
        </w:rPr>
        <w:t>/</w:t>
      </w:r>
      <w:r>
        <w:rPr>
          <w:rFonts w:hint="eastAsia" w:ascii="方正仿宋_GBK" w:hAnsi="方正仿宋_GBK"/>
          <w:snapToGrid w:val="0"/>
        </w:rPr>
        <w:t>任务</w:t>
      </w:r>
      <w:r>
        <w:rPr>
          <w:rFonts w:ascii="方正仿宋_GBK" w:hAnsi="方正仿宋_GBK"/>
          <w:snapToGrid w:val="0"/>
        </w:rPr>
        <w:t>/</w:t>
      </w:r>
      <w:r>
        <w:rPr>
          <w:rFonts w:hint="eastAsia" w:ascii="方正仿宋_GBK" w:hAnsi="方正仿宋_GBK"/>
          <w:snapToGrid w:val="0"/>
        </w:rPr>
        <w:t>扩展类三种与第三方应用的调用方式。只有将其添加到流程中，才能由流程引擎触发执行。</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超级节点：任务添加到流程后，生成超级节点。按照任务类节点进行流程驱动。如回退、执行异常等。</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（4）业务约束</w:t>
      </w:r>
    </w:p>
    <w:p>
      <w:pPr>
        <w:kinsoku/>
        <w:wordWrap/>
        <w:topLinePunct w:val="0"/>
        <w:autoSpaceDE/>
        <w:autoSpaceDN/>
        <w:bidi w:val="0"/>
        <w:spacing w:line="560" w:lineRule="exact"/>
        <w:ind w:firstLine="604"/>
        <w:rPr>
          <w:rFonts w:ascii="Times New Roman" w:hAnsi="Times New Roman"/>
          <w:snapToGrid w:val="0"/>
        </w:rPr>
      </w:pPr>
      <w:r>
        <w:rPr>
          <w:rFonts w:hint="eastAsia" w:ascii="Times New Roman" w:hAnsi="Times New Roman"/>
          <w:snapToGrid w:val="0"/>
        </w:rPr>
        <w:t>一个</w:t>
      </w:r>
      <w:r>
        <w:rPr>
          <w:rFonts w:hint="eastAsia" w:ascii="方正仿宋_GBK" w:hAnsi="方正仿宋_GBK"/>
          <w:snapToGrid w:val="0"/>
        </w:rPr>
        <w:t>业务</w:t>
      </w:r>
      <w:r>
        <w:rPr>
          <w:rFonts w:hint="eastAsia" w:ascii="Times New Roman" w:hAnsi="Times New Roman"/>
          <w:snapToGrid w:val="0"/>
        </w:rPr>
        <w:t>只能关联一个流程，同一流程不能被多个业务绑定。</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（5）参数支持</w:t>
      </w:r>
    </w:p>
    <w:p>
      <w:pPr>
        <w:kinsoku/>
        <w:wordWrap/>
        <w:topLinePunct w:val="0"/>
        <w:autoSpaceDE/>
        <w:autoSpaceDN/>
        <w:bidi w:val="0"/>
        <w:spacing w:line="560" w:lineRule="exact"/>
        <w:ind w:firstLine="604"/>
        <w:rPr>
          <w:rFonts w:ascii="Times New Roman" w:hAnsi="Times New Roman"/>
          <w:snapToGrid w:val="0"/>
        </w:rPr>
      </w:pPr>
      <w:r>
        <w:rPr>
          <w:rFonts w:hint="eastAsia" w:ascii="Times New Roman" w:hAnsi="Times New Roman"/>
          <w:snapToGrid w:val="0"/>
        </w:rPr>
        <w:t>广泛的参数支持</w:t>
      </w:r>
      <w:r>
        <w:rPr>
          <w:rFonts w:hint="eastAsia" w:ascii="Times New Roman" w:hAnsi="Times New Roman"/>
          <w:snapToGrid w:val="0"/>
          <w:lang w:eastAsia="zh-CN"/>
        </w:rPr>
        <w:t>，</w:t>
      </w:r>
      <w:r>
        <w:rPr>
          <w:rFonts w:hint="eastAsia" w:ascii="Times New Roman" w:hAnsi="Times New Roman"/>
          <w:snapToGrid w:val="0"/>
        </w:rPr>
        <w:t>能够满足典型应用的配置化要求：具体如下</w:t>
      </w:r>
    </w:p>
    <w:p>
      <w:pPr>
        <w:kinsoku/>
        <w:wordWrap/>
        <w:topLinePunct w:val="0"/>
        <w:autoSpaceDE/>
        <w:autoSpaceDN/>
        <w:bidi w:val="0"/>
        <w:spacing w:line="560" w:lineRule="exact"/>
        <w:ind w:firstLine="604"/>
        <w:rPr>
          <w:rFonts w:ascii="Times New Roman" w:hAnsi="Times New Roman"/>
          <w:snapToGrid w:val="0"/>
        </w:rPr>
      </w:pPr>
      <w:r>
        <w:rPr>
          <w:rFonts w:hint="eastAsia" w:ascii="Times New Roman" w:hAnsi="Times New Roman"/>
          <w:snapToGrid w:val="0"/>
        </w:rPr>
        <w:t>参数类型：将支持三种参数：</w:t>
      </w:r>
      <w:r>
        <w:rPr>
          <w:rFonts w:ascii="Times New Roman" w:hAnsi="Times New Roman"/>
          <w:snapToGrid w:val="0"/>
        </w:rPr>
        <w:t>URL</w:t>
      </w:r>
      <w:r>
        <w:rPr>
          <w:rFonts w:hint="eastAsia" w:ascii="Times New Roman" w:hAnsi="Times New Roman"/>
          <w:snapToGrid w:val="0"/>
        </w:rPr>
        <w:t>链接</w:t>
      </w:r>
      <w:r>
        <w:rPr>
          <w:rFonts w:hint="eastAsia" w:ascii="Times New Roman" w:hAnsi="Times New Roman"/>
          <w:snapToGrid w:val="0"/>
          <w:lang w:eastAsia="zh-CN"/>
        </w:rPr>
        <w:t>（</w:t>
      </w:r>
      <w:r>
        <w:rPr>
          <w:rFonts w:hint="eastAsia" w:ascii="Times New Roman" w:hAnsi="Times New Roman"/>
          <w:snapToGrid w:val="0"/>
        </w:rPr>
        <w:t>地址</w:t>
      </w:r>
      <w:r>
        <w:rPr>
          <w:rFonts w:ascii="Times New Roman" w:hAnsi="Times New Roman"/>
          <w:snapToGrid w:val="0"/>
        </w:rPr>
        <w:t>)</w:t>
      </w:r>
      <w:r>
        <w:rPr>
          <w:rFonts w:hint="eastAsia" w:ascii="Times New Roman" w:hAnsi="Times New Roman"/>
          <w:snapToGrid w:val="0"/>
        </w:rPr>
        <w:t>参数、</w:t>
      </w:r>
      <w:r>
        <w:rPr>
          <w:rFonts w:ascii="Times New Roman" w:hAnsi="Times New Roman"/>
          <w:snapToGrid w:val="0"/>
        </w:rPr>
        <w:t xml:space="preserve"> </w:t>
      </w:r>
      <w:r>
        <w:rPr>
          <w:rFonts w:hint="eastAsia" w:ascii="Times New Roman" w:hAnsi="Times New Roman"/>
          <w:snapToGrid w:val="0"/>
        </w:rPr>
        <w:t>简单业务类型参数、复杂类型业务参数，如</w:t>
      </w:r>
      <w:r>
        <w:rPr>
          <w:rFonts w:ascii="Times New Roman" w:hAnsi="Times New Roman"/>
          <w:snapToGrid w:val="0"/>
        </w:rPr>
        <w:t>xml/json/jcotable</w:t>
      </w:r>
    </w:p>
    <w:p>
      <w:pPr>
        <w:kinsoku/>
        <w:wordWrap/>
        <w:topLinePunct w:val="0"/>
        <w:autoSpaceDE/>
        <w:autoSpaceDN/>
        <w:bidi w:val="0"/>
        <w:spacing w:line="560" w:lineRule="exact"/>
        <w:ind w:firstLine="604"/>
        <w:rPr>
          <w:rFonts w:ascii="Times New Roman" w:hAnsi="Times New Roman"/>
          <w:snapToGrid w:val="0"/>
        </w:rPr>
      </w:pPr>
      <w:r>
        <w:rPr>
          <w:rFonts w:hint="eastAsia" w:ascii="Times New Roman" w:hAnsi="Times New Roman"/>
          <w:snapToGrid w:val="0"/>
        </w:rPr>
        <w:t>参数赋值：支持静态或多种来源的动态参数值，包括系统变量、流程数据、审批意见、表单数据、第三方应用参数。</w:t>
      </w:r>
    </w:p>
    <w:p>
      <w:pPr>
        <w:pStyle w:val="8"/>
        <w:kinsoku/>
        <w:wordWrap/>
        <w:topLinePunct w:val="0"/>
        <w:autoSpaceDE/>
        <w:autoSpaceDN/>
        <w:bidi w:val="0"/>
        <w:spacing w:before="198" w:after="198" w:line="560" w:lineRule="exact"/>
      </w:pPr>
      <w:r>
        <w:rPr>
          <w:rFonts w:hint="eastAsia"/>
        </w:rPr>
        <w:t>工作计划</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应可查看我的计划、他人计划等。</w:t>
      </w:r>
    </w:p>
    <w:p>
      <w:pPr>
        <w:pStyle w:val="8"/>
        <w:kinsoku/>
        <w:wordWrap/>
        <w:topLinePunct w:val="0"/>
        <w:autoSpaceDE/>
        <w:autoSpaceDN/>
        <w:bidi w:val="0"/>
        <w:spacing w:before="198" w:after="198" w:line="560" w:lineRule="exact"/>
      </w:pPr>
      <w:r>
        <w:rPr>
          <w:rFonts w:hint="eastAsia"/>
        </w:rPr>
        <w:t>个性化设置</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若单位管理员勾选允许用户自定义空间选项，则用户可对个人类空间进行页面栏目配置，用户可以从13种布局中选择一种；若不允许，选择空间进行修改时会提示“管理员禁止您自定义空间信息！”</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选择PC空间设置中，对个人空间进行内容和布局设置。选择对应的空间进行修改，可以通过拖动栏目来设置布局。</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通过【添加栏目】按钮，进行栏目的配置，点击栏目中+按钮可设置多页签栏目。</w:t>
      </w:r>
    </w:p>
    <w:p>
      <w:pPr>
        <w:pStyle w:val="8"/>
        <w:kinsoku/>
        <w:wordWrap/>
        <w:topLinePunct w:val="0"/>
        <w:autoSpaceDE/>
        <w:autoSpaceDN/>
        <w:bidi w:val="0"/>
        <w:spacing w:before="198" w:after="198" w:line="560" w:lineRule="exact"/>
      </w:pPr>
      <w:r>
        <w:rPr>
          <w:rFonts w:hint="eastAsia"/>
        </w:rPr>
        <w:t>通讯录</w:t>
      </w:r>
    </w:p>
    <w:p>
      <w:pPr>
        <w:numPr>
          <w:ilvl w:val="0"/>
          <w:numId w:val="105"/>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提供统一的企业内各级单位的组织架构图，提供便捷的组织架构图编辑功能；</w:t>
      </w:r>
    </w:p>
    <w:p>
      <w:pPr>
        <w:numPr>
          <w:ilvl w:val="0"/>
          <w:numId w:val="105"/>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提供统一的各单位人员组织架构管理，人员列表与部门、处室等组织架构统一管理，提供完整的人员组织架构树管理，提供简洁的组织人员组织架构呈现，通讯录中的人员称谓、排序、手机等详细信息和信息列表呈现方式可按要求灵活定制；</w:t>
      </w:r>
    </w:p>
    <w:p>
      <w:pPr>
        <w:numPr>
          <w:ilvl w:val="0"/>
          <w:numId w:val="105"/>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每个用户可以查看组织内部的通讯录，可以依据组织架构检索人员信息，也可以设定查询条件，根据人员名称、岗位、职务、办公电话、手机号码等模糊查询。查询信息包含：姓名、部门、岗位、职务、办公电话、手机号码等。通讯录可以提供内部联系人和外部联系人，并且系统通过LDAP协议接口集成外部windowsAD域或LDAP系统，获取和查询人员信息。</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同时，移动端亦提供清晰的组织架构展示，以及人员信息的模糊查询及快速定位：</w:t>
      </w:r>
    </w:p>
    <w:p>
      <w:pPr>
        <w:numPr>
          <w:ilvl w:val="0"/>
          <w:numId w:val="106"/>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名片一样的通讯录，照片，信息，直观清晰；</w:t>
      </w:r>
    </w:p>
    <w:p>
      <w:pPr>
        <w:numPr>
          <w:ilvl w:val="0"/>
          <w:numId w:val="106"/>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全单位人员的组织架构展示，查找人员更直观、方便，操作更易用，符合用户实际找人的场景，让用户可以随时随地进行沟通；</w:t>
      </w:r>
    </w:p>
    <w:p>
      <w:pPr>
        <w:numPr>
          <w:ilvl w:val="0"/>
          <w:numId w:val="106"/>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通讯录模糊搜索，打字即可匹配对应人员，给出提示的同时，最快缩小范围，更加快捷找到所需人员保存搜索记录；</w:t>
      </w:r>
    </w:p>
    <w:p>
      <w:pPr>
        <w:numPr>
          <w:ilvl w:val="0"/>
          <w:numId w:val="106"/>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打电话、发短信、保存到手机通讯录、发邮件，一键搞定。</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通过通讯录设置，控制通讯录处人员的可见权限。例如设置关键信息是否显示，是否可以打印和导出，显示字段设置等。</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显示字段设置包含：姓名、部门、岗位、职务级别、办公电话、手机号码、电子邮件、家庭住址、邮政编码、通讯地址、组织管理员建立且启用的通讯录字段等。</w:t>
      </w:r>
    </w:p>
    <w:p>
      <w:pPr>
        <w:pStyle w:val="8"/>
        <w:kinsoku/>
        <w:wordWrap/>
        <w:topLinePunct w:val="0"/>
        <w:autoSpaceDE/>
        <w:autoSpaceDN/>
        <w:bidi w:val="0"/>
        <w:spacing w:before="198" w:after="198" w:line="560" w:lineRule="exact"/>
      </w:pPr>
      <w:r>
        <w:rPr>
          <w:rFonts w:hint="eastAsia"/>
        </w:rPr>
        <w:t>自定义表单</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提供报表设计工具，通过支持单据定义、流程配置、人员和资源的直观描述等多种手段，以图形化、透明化、可视化而完成制度的控制执行，保证制度执行的准确、高效、可跟踪和追溯，并将执行结果全息集中存储，保证了制度的有效执行。</w:t>
      </w:r>
    </w:p>
    <w:p>
      <w:pPr>
        <w:numPr>
          <w:ilvl w:val="0"/>
          <w:numId w:val="107"/>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支持多列布局、表格布局；</w:t>
      </w:r>
    </w:p>
    <w:p>
      <w:pPr>
        <w:numPr>
          <w:ilvl w:val="0"/>
          <w:numId w:val="107"/>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支持3控件类型：基础控件、组织控件、业务控件、辅助类标签、自定义控件/按钮；</w:t>
      </w:r>
    </w:p>
    <w:p>
      <w:pPr>
        <w:numPr>
          <w:ilvl w:val="0"/>
          <w:numId w:val="107"/>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支持按需定义表单格式、表单录入方式、表单数据类型和录入代码；</w:t>
      </w:r>
    </w:p>
    <w:p>
      <w:pPr>
        <w:numPr>
          <w:ilvl w:val="0"/>
          <w:numId w:val="107"/>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支持表单数据的校验规则、唯一性、计算、关联，大小写转换等；</w:t>
      </w:r>
    </w:p>
    <w:p>
      <w:pPr>
        <w:numPr>
          <w:ilvl w:val="0"/>
          <w:numId w:val="107"/>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支持第3方控件，如表单手写签名与盖章、二维码、地图控件；</w:t>
      </w:r>
    </w:p>
    <w:p>
      <w:pPr>
        <w:numPr>
          <w:ilvl w:val="0"/>
          <w:numId w:val="107"/>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支持按需定义表单的业务处理流程、流程权限、数据操作权限；</w:t>
      </w:r>
    </w:p>
    <w:p>
      <w:pPr>
        <w:numPr>
          <w:ilvl w:val="0"/>
          <w:numId w:val="107"/>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支持表单多视图与分段流程，支持表单数据项设置的动态流程节点；</w:t>
      </w:r>
    </w:p>
    <w:p>
      <w:pPr>
        <w:numPr>
          <w:ilvl w:val="0"/>
          <w:numId w:val="107"/>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支持表单填写时的行复制、空行复制和行删除；</w:t>
      </w:r>
    </w:p>
    <w:p>
      <w:pPr>
        <w:numPr>
          <w:ilvl w:val="0"/>
          <w:numId w:val="107"/>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采用结构化数据接口，通过扩展，支持其他系统接入；</w:t>
      </w:r>
    </w:p>
    <w:p>
      <w:pPr>
        <w:numPr>
          <w:ilvl w:val="0"/>
          <w:numId w:val="107"/>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支持表单流程的标题可根据表单数据或系统变量动态生成；</w:t>
      </w:r>
    </w:p>
    <w:p>
      <w:pPr>
        <w:numPr>
          <w:ilvl w:val="0"/>
          <w:numId w:val="107"/>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支持系统函数，如重复表分类合计/分类平均、取年/取月/取整、用户自定义函数等；</w:t>
      </w:r>
    </w:p>
    <w:p>
      <w:pPr>
        <w:numPr>
          <w:ilvl w:val="0"/>
          <w:numId w:val="107"/>
        </w:num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支持系统变量，如系统日期变量/组织变量等。</w:t>
      </w:r>
    </w:p>
    <w:p>
      <w:pPr>
        <w:pStyle w:val="7"/>
        <w:kinsoku/>
        <w:wordWrap/>
        <w:topLinePunct w:val="0"/>
        <w:autoSpaceDE/>
        <w:autoSpaceDN/>
        <w:bidi w:val="0"/>
        <w:spacing w:before="198" w:after="198" w:line="560" w:lineRule="exact"/>
        <w:rPr>
          <w:rFonts w:hint="default"/>
        </w:rPr>
      </w:pPr>
      <w:r>
        <w:t>视频会议</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视频会议改变了传统沟通方式，为工作流程注入新的活力。利用视频沟通，减少时间空间限制，真正做到随时、随地的高效沟通，使信息更新可以快速地传递到组织中的每一位。同时，利用移动互联网为员工提供更加灵活的沟通协作方式，降低差旅支出，降低系统维护管理支出，协助农投集团快速迎接互联网的新时代。</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本次视频会议系统支持SIP协议、H323协议，能够无缝兼容对接市国资委视频会议系统。</w:t>
      </w:r>
    </w:p>
    <w:p>
      <w:pPr>
        <w:pStyle w:val="8"/>
        <w:kinsoku/>
        <w:wordWrap/>
        <w:topLinePunct w:val="0"/>
        <w:autoSpaceDE/>
        <w:autoSpaceDN/>
        <w:bidi w:val="0"/>
        <w:spacing w:before="198" w:after="198" w:line="560" w:lineRule="exact"/>
      </w:pPr>
      <w:r>
        <w:rPr>
          <w:rFonts w:hint="eastAsia"/>
        </w:rPr>
        <w:t>屏幕共享</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视频会议应支持桌面客户端、移动端共享整个屏幕、电子白板。桌面客户端支持共享某一应用和电脑音频。</w:t>
      </w:r>
    </w:p>
    <w:p>
      <w:pPr>
        <w:pStyle w:val="8"/>
        <w:kinsoku/>
        <w:wordWrap/>
        <w:topLinePunct w:val="0"/>
        <w:autoSpaceDE/>
        <w:autoSpaceDN/>
        <w:bidi w:val="0"/>
        <w:spacing w:before="198" w:after="198" w:line="560" w:lineRule="exact"/>
      </w:pPr>
      <w:r>
        <w:rPr>
          <w:rFonts w:hint="eastAsia"/>
        </w:rPr>
        <w:t>多画面显示</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多种画面设置，让交互更灵活，与会者可以自由选择画面布局。</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PC端，支持全屏模式，支持视图切换。可设置宫格视图或演讲者视图，单屏最大可同时显示25路高清画面。</w:t>
      </w:r>
    </w:p>
    <w:p>
      <w:pPr>
        <w:pStyle w:val="8"/>
        <w:kinsoku/>
        <w:wordWrap/>
        <w:topLinePunct w:val="0"/>
        <w:autoSpaceDE/>
        <w:autoSpaceDN/>
        <w:bidi w:val="0"/>
        <w:spacing w:before="198" w:after="198" w:line="560" w:lineRule="exact"/>
      </w:pPr>
      <w:r>
        <w:rPr>
          <w:rFonts w:hint="eastAsia"/>
        </w:rPr>
        <w:t>等候室</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等候室功能可以有效帮助主持人管理参会人员的入会权限及入会时间，提高会议效率以及会议安全性。</w:t>
      </w:r>
    </w:p>
    <w:p>
      <w:pPr>
        <w:pStyle w:val="8"/>
        <w:kinsoku/>
        <w:wordWrap/>
        <w:topLinePunct w:val="0"/>
        <w:autoSpaceDE/>
        <w:autoSpaceDN/>
        <w:bidi w:val="0"/>
        <w:spacing w:before="198" w:after="198" w:line="560" w:lineRule="exact"/>
      </w:pPr>
      <w:r>
        <w:rPr>
          <w:rFonts w:hint="eastAsia"/>
        </w:rPr>
        <w:t>PSTN电话接入</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可以通过邮件、消息通知等方式，拨打电话号+会议号加入到会议中，您的座机或手机将作为会议音频接入方式。</w:t>
      </w:r>
    </w:p>
    <w:p>
      <w:pPr>
        <w:pStyle w:val="8"/>
        <w:kinsoku/>
        <w:wordWrap/>
        <w:topLinePunct w:val="0"/>
        <w:autoSpaceDE/>
        <w:autoSpaceDN/>
        <w:bidi w:val="0"/>
        <w:spacing w:before="198" w:after="198" w:line="560" w:lineRule="exact"/>
      </w:pPr>
      <w:r>
        <w:rPr>
          <w:rFonts w:hint="eastAsia"/>
        </w:rPr>
        <w:t>入会音频选择</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进入会议中后，可以选择任意一种作为会议中的通话方式，包括 “电话拨入”和“电脑音频”。</w:t>
      </w:r>
    </w:p>
    <w:p>
      <w:pPr>
        <w:pStyle w:val="8"/>
        <w:kinsoku/>
        <w:wordWrap/>
        <w:topLinePunct w:val="0"/>
        <w:autoSpaceDE/>
        <w:autoSpaceDN/>
        <w:bidi w:val="0"/>
        <w:spacing w:before="198" w:after="198" w:line="560" w:lineRule="exact"/>
      </w:pPr>
      <w:r>
        <w:rPr>
          <w:rFonts w:hint="eastAsia"/>
        </w:rPr>
        <w:t>会议录制</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视频会议提供本地化录制及云录制功能，并支持开启自动会议录制，录制内容包含音频、视频及共享画面。可随时暂停、结束录制。自动会议录制。</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1.本地化录制</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2.云录制</w:t>
      </w:r>
    </w:p>
    <w:p>
      <w:pPr>
        <w:pStyle w:val="8"/>
        <w:kinsoku/>
        <w:wordWrap/>
        <w:topLinePunct w:val="0"/>
        <w:autoSpaceDE/>
        <w:autoSpaceDN/>
        <w:bidi w:val="0"/>
        <w:spacing w:before="198" w:after="198" w:line="560" w:lineRule="exact"/>
      </w:pPr>
      <w:r>
        <w:rPr>
          <w:rFonts w:hint="eastAsia"/>
        </w:rPr>
        <w:t>自动会议纪要</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视频会议提供会议纪要能力，可实现会议纪要起草、纪要审核、纪要发布，让记录会议要点更省时省力。</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1.会议纪要起草</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2.纪要审核</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3.纪要发布</w:t>
      </w:r>
    </w:p>
    <w:p>
      <w:pPr>
        <w:pStyle w:val="8"/>
        <w:kinsoku/>
        <w:wordWrap/>
        <w:topLinePunct w:val="0"/>
        <w:autoSpaceDE/>
        <w:autoSpaceDN/>
        <w:bidi w:val="0"/>
        <w:spacing w:before="198" w:after="198" w:line="560" w:lineRule="exact"/>
      </w:pPr>
      <w:r>
        <w:rPr>
          <w:rFonts w:hint="eastAsia"/>
        </w:rPr>
        <w:t>投票</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会议中主持人可以随时发起投票，投票类型可以支持单选、多选，匿名投票或是非匿名投票，创建完投票后向全体参会人员发起投票。主持人可以设置终止投票或是删除投票。用户在某场会议中创建或者参与的所有已结束的投票，都会沉淀在历史会议中，以便随时查看。</w:t>
      </w:r>
    </w:p>
    <w:p>
      <w:pPr>
        <w:pStyle w:val="8"/>
        <w:kinsoku/>
        <w:wordWrap/>
        <w:topLinePunct w:val="0"/>
        <w:autoSpaceDE/>
        <w:autoSpaceDN/>
        <w:bidi w:val="0"/>
        <w:spacing w:before="198" w:after="198" w:line="560" w:lineRule="exact"/>
      </w:pPr>
      <w:r>
        <w:rPr>
          <w:rFonts w:hint="eastAsia"/>
        </w:rPr>
        <w:t>无线投屏</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视频会议可以通过PC端、移动端在可投屏设备上进行投屏。</w:t>
      </w:r>
    </w:p>
    <w:p>
      <w:pPr>
        <w:pStyle w:val="8"/>
        <w:kinsoku/>
        <w:wordWrap/>
        <w:topLinePunct w:val="0"/>
        <w:autoSpaceDE/>
        <w:autoSpaceDN/>
        <w:bidi w:val="0"/>
        <w:spacing w:before="198" w:after="198" w:line="560" w:lineRule="exact"/>
      </w:pPr>
      <w:r>
        <w:rPr>
          <w:rFonts w:hint="eastAsia"/>
        </w:rPr>
        <w:t>大屏显示集成</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系统可以集成大屏系统，在大屏上进行会议展示。</w:t>
      </w:r>
    </w:p>
    <w:p>
      <w:pPr>
        <w:pStyle w:val="8"/>
        <w:kinsoku/>
        <w:wordWrap/>
        <w:topLinePunct w:val="0"/>
        <w:autoSpaceDE/>
        <w:autoSpaceDN/>
        <w:bidi w:val="0"/>
        <w:spacing w:before="198" w:after="198" w:line="560" w:lineRule="exact"/>
      </w:pPr>
      <w:r>
        <w:rPr>
          <w:rFonts w:hint="eastAsia"/>
        </w:rPr>
        <w:t>归档管理</w:t>
      </w:r>
    </w:p>
    <w:p>
      <w:pPr>
        <w:kinsoku/>
        <w:wordWrap/>
        <w:topLinePunct w:val="0"/>
        <w:autoSpaceDE/>
        <w:autoSpaceDN/>
        <w:bidi w:val="0"/>
        <w:spacing w:line="560" w:lineRule="exact"/>
        <w:ind w:firstLine="604"/>
        <w:rPr>
          <w:rFonts w:ascii="方正仿宋_GBK" w:hAnsi="方正仿宋_GBK"/>
          <w:snapToGrid w:val="0"/>
        </w:rPr>
      </w:pPr>
      <w:r>
        <w:rPr>
          <w:rFonts w:hint="eastAsia" w:ascii="方正仿宋_GBK" w:hAnsi="方正仿宋_GBK"/>
          <w:snapToGrid w:val="0"/>
        </w:rPr>
        <w:t>视频会议系统可以将会议资料按会议和议题进行归档管理。会议资料包括会议通知、会议签到单、汇报材料、会议记录、会议纪要等，系统支持与档案系统对接，定期将会议资料发送到档案系统存档管理。</w:t>
      </w:r>
    </w:p>
    <w:p>
      <w:pPr>
        <w:pStyle w:val="5"/>
        <w:kinsoku/>
        <w:wordWrap/>
        <w:topLinePunct w:val="0"/>
        <w:autoSpaceDE/>
        <w:autoSpaceDN/>
        <w:bidi w:val="0"/>
        <w:spacing w:before="198" w:after="198" w:line="560" w:lineRule="exact"/>
        <w:rPr>
          <w:rFonts w:hint="default"/>
        </w:rPr>
      </w:pPr>
      <w:bookmarkStart w:id="373" w:name="_Toc18172"/>
      <w:bookmarkStart w:id="374" w:name="_Toc21046"/>
      <w:bookmarkStart w:id="375" w:name="_Toc20371"/>
      <w:bookmarkStart w:id="376" w:name="_Toc21707"/>
      <w:bookmarkStart w:id="377" w:name="_Toc1011"/>
      <w:r>
        <w:t>终端系统设计</w:t>
      </w:r>
      <w:bookmarkEnd w:id="373"/>
      <w:bookmarkEnd w:id="374"/>
      <w:bookmarkEnd w:id="375"/>
    </w:p>
    <w:p>
      <w:pPr>
        <w:pStyle w:val="2"/>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本次考虑在集团大楼会议室新增部署2套会议大屏设备，在领导办公室新增部署6套办公中屏设备，满足集团会议召开以及领导驾驶舱的数据展示，实现集团数智化管控系统对数据上墙、数据决策、</w:t>
      </w:r>
      <w:r>
        <w:rPr>
          <w:rFonts w:hint="eastAsia"/>
        </w:rPr>
        <w:t>浏览及数据管理的现代化需求</w:t>
      </w:r>
      <w:r>
        <w:rPr>
          <w:rFonts w:hint="eastAsia" w:ascii="方正仿宋_GBK" w:hAnsi="方正仿宋_GBK"/>
        </w:rPr>
        <w:t>。</w:t>
      </w:r>
    </w:p>
    <w:p>
      <w:pPr>
        <w:pStyle w:val="5"/>
        <w:kinsoku/>
        <w:wordWrap/>
        <w:topLinePunct w:val="0"/>
        <w:autoSpaceDE/>
        <w:autoSpaceDN/>
        <w:bidi w:val="0"/>
        <w:spacing w:before="198" w:after="198" w:line="560" w:lineRule="exact"/>
        <w:rPr>
          <w:rFonts w:hint="default"/>
        </w:rPr>
      </w:pPr>
      <w:bookmarkStart w:id="378" w:name="_Toc21555"/>
      <w:bookmarkStart w:id="379" w:name="_Toc26617"/>
      <w:bookmarkStart w:id="380" w:name="_Toc23985"/>
      <w:r>
        <w:t>平台对接系统接口方案</w:t>
      </w:r>
      <w:bookmarkEnd w:id="378"/>
      <w:bookmarkEnd w:id="379"/>
      <w:bookmarkEnd w:id="380"/>
    </w:p>
    <w:p>
      <w:pPr>
        <w:pStyle w:val="2"/>
        <w:numPr>
          <w:ilvl w:val="0"/>
          <w:numId w:val="108"/>
        </w:numPr>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数智化财务管理的银企直连平台通过银企互联接口实现与外部多家银行的实时信息交互。</w:t>
      </w:r>
    </w:p>
    <w:p>
      <w:pPr>
        <w:pStyle w:val="2"/>
        <w:numPr>
          <w:ilvl w:val="0"/>
          <w:numId w:val="108"/>
        </w:numPr>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按照市国资委发布的数据交换标准接口规范对接数据采集交换平台实现与市国资委国资大数据监管平台的数据交互。</w:t>
      </w:r>
    </w:p>
    <w:p>
      <w:pPr>
        <w:pStyle w:val="2"/>
        <w:numPr>
          <w:ilvl w:val="0"/>
          <w:numId w:val="108"/>
        </w:numPr>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农投集团视频会议系统支持通过SIP协议、H323协议，能够无缝兼容对接市国资委视频会议系统。</w:t>
      </w:r>
    </w:p>
    <w:p>
      <w:pPr>
        <w:pStyle w:val="2"/>
        <w:numPr>
          <w:ilvl w:val="0"/>
          <w:numId w:val="108"/>
        </w:numPr>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财务管理系统能够通过标准的系统接口与发票认证服务平台对接，实现增值税专用发票、增值税电子专用发票、增值税电子普通发票（通行费）等类型发票的认证。</w:t>
      </w:r>
    </w:p>
    <w:p>
      <w:pPr>
        <w:pStyle w:val="2"/>
        <w:numPr>
          <w:ilvl w:val="0"/>
          <w:numId w:val="108"/>
        </w:numPr>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与商旅平台对接，实现企业用户商旅信息交互。</w:t>
      </w:r>
    </w:p>
    <w:p>
      <w:pPr>
        <w:pStyle w:val="2"/>
        <w:numPr>
          <w:ilvl w:val="0"/>
          <w:numId w:val="108"/>
        </w:numPr>
        <w:kinsoku/>
        <w:wordWrap/>
        <w:topLinePunct w:val="0"/>
        <w:autoSpaceDE/>
        <w:autoSpaceDN/>
        <w:bidi w:val="0"/>
        <w:spacing w:line="560" w:lineRule="exact"/>
        <w:ind w:firstLine="604"/>
        <w:jc w:val="both"/>
        <w:rPr>
          <w:rFonts w:hint="default" w:ascii="方正仿宋_GBK" w:hAnsi="方正仿宋_GBK"/>
          <w:lang w:val="en-US" w:eastAsia="zh-CN"/>
        </w:rPr>
      </w:pPr>
      <w:r>
        <w:rPr>
          <w:rFonts w:hint="eastAsia" w:ascii="方正仿宋_GBK" w:hAnsi="方正仿宋_GBK"/>
          <w:lang w:val="en-US" w:eastAsia="zh-CN"/>
        </w:rPr>
        <w:t>与集团所出资公司原有系统或后期新建系统预留接口，</w:t>
      </w:r>
      <w:r>
        <w:rPr>
          <w:rFonts w:hint="eastAsia" w:ascii="方正仿宋_GBK" w:hAnsi="方正仿宋_GBK"/>
        </w:rPr>
        <w:t>按照市国资委发布的数据交换标准接口规范</w:t>
      </w:r>
      <w:r>
        <w:rPr>
          <w:rFonts w:hint="eastAsia" w:ascii="方正仿宋_GBK" w:hAnsi="方正仿宋_GBK"/>
          <w:lang w:val="en-US" w:eastAsia="zh-CN"/>
        </w:rPr>
        <w:t>对集团数智化管控相关业务数据进行采集。</w:t>
      </w:r>
    </w:p>
    <w:p>
      <w:pPr>
        <w:pStyle w:val="2"/>
        <w:numPr>
          <w:ilvl w:val="0"/>
          <w:numId w:val="108"/>
        </w:numPr>
        <w:kinsoku/>
        <w:wordWrap/>
        <w:topLinePunct w:val="0"/>
        <w:autoSpaceDE/>
        <w:autoSpaceDN/>
        <w:bidi w:val="0"/>
        <w:spacing w:line="560" w:lineRule="exact"/>
        <w:ind w:firstLine="604"/>
        <w:jc w:val="both"/>
        <w:rPr>
          <w:rFonts w:hint="default" w:ascii="方正仿宋_GBK" w:hAnsi="方正仿宋_GBK"/>
          <w:lang w:val="en-US" w:eastAsia="zh-CN"/>
        </w:rPr>
      </w:pPr>
      <w:r>
        <w:rPr>
          <w:rFonts w:hint="eastAsia" w:ascii="方正仿宋_GBK" w:hAnsi="方正仿宋_GBK"/>
          <w:lang w:val="en-US" w:eastAsia="zh-CN"/>
        </w:rPr>
        <w:t>与市级相关部门如市场监管局、人力社保局、税务局等相关系统对接获取对外共享开放的企业法人信息、职工社保信息、纳税信息等。</w:t>
      </w:r>
    </w:p>
    <w:bookmarkEnd w:id="376"/>
    <w:bookmarkEnd w:id="377"/>
    <w:p>
      <w:pPr>
        <w:pStyle w:val="5"/>
        <w:kinsoku/>
        <w:wordWrap/>
        <w:topLinePunct w:val="0"/>
        <w:autoSpaceDE/>
        <w:autoSpaceDN/>
        <w:bidi w:val="0"/>
        <w:spacing w:before="198" w:after="198" w:line="560" w:lineRule="exact"/>
        <w:rPr>
          <w:rFonts w:hint="default"/>
        </w:rPr>
      </w:pPr>
      <w:bookmarkStart w:id="381" w:name="_Toc14262"/>
      <w:bookmarkStart w:id="382" w:name="_Toc28564"/>
      <w:bookmarkStart w:id="383" w:name="_Toc25445"/>
      <w:bookmarkStart w:id="384" w:name="_Toc14378"/>
      <w:bookmarkStart w:id="385" w:name="_Toc16218"/>
      <w:r>
        <w:t>网络及安全系统设计</w:t>
      </w:r>
      <w:bookmarkEnd w:id="381"/>
    </w:p>
    <w:p>
      <w:pPr>
        <w:pStyle w:val="6"/>
        <w:kinsoku/>
        <w:wordWrap/>
        <w:topLinePunct w:val="0"/>
        <w:autoSpaceDE/>
        <w:autoSpaceDN/>
        <w:bidi w:val="0"/>
        <w:spacing w:before="198" w:after="198" w:line="560" w:lineRule="exact"/>
      </w:pPr>
      <w:bookmarkStart w:id="386" w:name="_Toc21792"/>
      <w:r>
        <w:rPr>
          <w:rFonts w:hint="eastAsia"/>
        </w:rPr>
        <w:t>网络系统设计</w:t>
      </w:r>
      <w:bookmarkEnd w:id="382"/>
      <w:bookmarkEnd w:id="383"/>
      <w:bookmarkEnd w:id="384"/>
      <w:bookmarkEnd w:id="385"/>
      <w:bookmarkEnd w:id="386"/>
    </w:p>
    <w:p>
      <w:pPr>
        <w:pStyle w:val="2"/>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本项目网络基于云平台环境进行建设，租用云平台相应的计算资源、存储资源、互联网出口带宽及相应的操作系统、数据库、中间件等运行环境，由安全系统来提供安全服务，总体网络拓扑图如下所示：</w:t>
      </w:r>
    </w:p>
    <w:p>
      <w:pPr>
        <w:pStyle w:val="2"/>
        <w:kinsoku/>
        <w:wordWrap/>
        <w:topLinePunct w:val="0"/>
        <w:autoSpaceDE/>
        <w:autoSpaceDN/>
        <w:bidi w:val="0"/>
        <w:spacing w:line="560" w:lineRule="exact"/>
        <w:ind w:firstLine="0" w:firstLineChars="0"/>
        <w:jc w:val="center"/>
        <w:rPr>
          <w:rFonts w:ascii="方正仿宋_GBK" w:hAnsi="方正仿宋_GBK"/>
        </w:rPr>
      </w:pPr>
      <w:r>
        <w:rPr>
          <w:rFonts w:ascii="方正仿宋_GBK" w:hAnsi="方正仿宋_GBK"/>
          <w:snapToGrid/>
        </w:rPr>
        <w:drawing>
          <wp:inline distT="0" distB="0" distL="0" distR="0">
            <wp:extent cx="5241925" cy="4208780"/>
            <wp:effectExtent l="0" t="0" r="15875" b="127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41925" cy="4208780"/>
                    </a:xfrm>
                    <a:prstGeom prst="rect">
                      <a:avLst/>
                    </a:prstGeom>
                  </pic:spPr>
                </pic:pic>
              </a:graphicData>
            </a:graphic>
          </wp:inline>
        </w:drawing>
      </w:r>
    </w:p>
    <w:p>
      <w:pPr>
        <w:pStyle w:val="15"/>
        <w:numPr>
          <w:ilvl w:val="0"/>
          <w:numId w:val="10"/>
        </w:numPr>
        <w:tabs>
          <w:tab w:val="left" w:pos="0"/>
        </w:tabs>
        <w:kinsoku/>
        <w:wordWrap/>
        <w:topLinePunct w:val="0"/>
        <w:autoSpaceDE/>
        <w:autoSpaceDN/>
        <w:bidi w:val="0"/>
        <w:spacing w:before="198" w:after="397" w:line="560" w:lineRule="exact"/>
        <w:rPr>
          <w:rFonts w:ascii="方正仿宋_GBK" w:hAnsi="方正仿宋_GBK"/>
          <w:sz w:val="28"/>
        </w:rPr>
      </w:pPr>
      <w:r>
        <w:rPr>
          <w:rFonts w:hint="eastAsia" w:ascii="方正仿宋_GBK" w:hAnsi="方正仿宋_GBK"/>
          <w:sz w:val="28"/>
        </w:rPr>
        <w:t>网络系统拓扑图</w:t>
      </w:r>
    </w:p>
    <w:p>
      <w:pPr>
        <w:pStyle w:val="2"/>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本次新租用云计算（应用服务器4台、数据库服务器4台）、云存储（含20TB分布式存储和32TB备份存储）、云网络（100M互联网出口带宽）用于部署系统和进行数据传输，同时通过安全服务来保障系统安全。农投集团本地网络利旧，不在本地新增其他服务器、存储等设备，充分按照国家及重庆市集约化建设要求进行设计。</w:t>
      </w:r>
    </w:p>
    <w:p>
      <w:pPr>
        <w:pStyle w:val="6"/>
        <w:kinsoku/>
        <w:wordWrap/>
        <w:topLinePunct w:val="0"/>
        <w:autoSpaceDE/>
        <w:autoSpaceDN/>
        <w:bidi w:val="0"/>
        <w:spacing w:before="198" w:after="198" w:line="560" w:lineRule="exact"/>
      </w:pPr>
      <w:bookmarkStart w:id="387" w:name="_Toc6750"/>
      <w:bookmarkStart w:id="388" w:name="_Toc7090"/>
      <w:bookmarkStart w:id="389" w:name="_Toc4266"/>
      <w:bookmarkStart w:id="390" w:name="_Toc12595"/>
      <w:bookmarkStart w:id="391" w:name="_Toc22789"/>
      <w:r>
        <w:rPr>
          <w:rFonts w:hint="eastAsia"/>
        </w:rPr>
        <w:t>安全系统设计</w:t>
      </w:r>
      <w:bookmarkEnd w:id="387"/>
      <w:bookmarkEnd w:id="388"/>
      <w:bookmarkEnd w:id="389"/>
      <w:bookmarkEnd w:id="390"/>
      <w:bookmarkEnd w:id="391"/>
    </w:p>
    <w:p>
      <w:pPr>
        <w:pStyle w:val="7"/>
        <w:kinsoku/>
        <w:wordWrap/>
        <w:topLinePunct w:val="0"/>
        <w:autoSpaceDE/>
        <w:autoSpaceDN/>
        <w:bidi w:val="0"/>
        <w:spacing w:before="198" w:after="198" w:line="560" w:lineRule="exact"/>
        <w:rPr>
          <w:rFonts w:hint="default"/>
        </w:rPr>
      </w:pPr>
      <w:bookmarkStart w:id="392" w:name="_Toc21783"/>
      <w:bookmarkStart w:id="393" w:name="_Toc10547"/>
      <w:bookmarkStart w:id="394" w:name="_Toc29138"/>
      <w:bookmarkStart w:id="395" w:name="_Toc13855"/>
      <w:r>
        <w:t>安全等级界定</w:t>
      </w:r>
      <w:bookmarkEnd w:id="392"/>
      <w:bookmarkEnd w:id="393"/>
      <w:bookmarkEnd w:id="394"/>
      <w:bookmarkEnd w:id="395"/>
    </w:p>
    <w:p>
      <w:pPr>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根据相关安全等级标准文件，对信息系统安全共划分五个等级：</w:t>
      </w:r>
    </w:p>
    <w:p>
      <w:pPr>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第一级，信息系统受到破坏后，会对公民、法人和其他组织的合法权益造成损害，但不损害国家安全、社会秩序和公共利益；</w:t>
      </w:r>
    </w:p>
    <w:p>
      <w:pPr>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第二级，信息系统受到破坏后，会对公民、法人和其他组织的合法权益产生严重损害，或者对社会秩序和公共利益造成损害，但不损害国家安全；</w:t>
      </w:r>
    </w:p>
    <w:p>
      <w:pPr>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第三级，信息系统受到破坏后，会对公民、法人和其他组织的合法权益产生特别严重损害，或者对社会秩序和公共利益造成严重损害，或者对国家安全造成损害；</w:t>
      </w:r>
    </w:p>
    <w:p>
      <w:pPr>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第四级，信息系统受到破坏后，会对社会秩序和公共利益造成特别严重损害，或者对国家安全造成严重损害；</w:t>
      </w:r>
    </w:p>
    <w:p>
      <w:pPr>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第五级，信息系统受到破坏后，会对国家安全造成特别严重损害。</w:t>
      </w:r>
    </w:p>
    <w:p>
      <w:pPr>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本项目的业务数据涉及到敏感性，数据受到泄露后，会对</w:t>
      </w:r>
      <w:r>
        <w:rPr>
          <w:rFonts w:hint="eastAsia" w:ascii="方正仿宋_GBK" w:hAnsi="方正仿宋_GBK"/>
          <w:lang w:val="en-US" w:eastAsia="zh-CN"/>
        </w:rPr>
        <w:t>集团公司及所出资企业</w:t>
      </w:r>
      <w:r>
        <w:rPr>
          <w:rFonts w:hint="eastAsia" w:ascii="方正仿宋_GBK" w:hAnsi="方正仿宋_GBK"/>
        </w:rPr>
        <w:t>的合法权益产生特别严重损害，根据上述安全等级界定确认数智化管控系统所需的安全等级为等保三级。</w:t>
      </w:r>
    </w:p>
    <w:p>
      <w:pPr>
        <w:pStyle w:val="7"/>
        <w:kinsoku/>
        <w:wordWrap/>
        <w:topLinePunct w:val="0"/>
        <w:autoSpaceDE/>
        <w:autoSpaceDN/>
        <w:bidi w:val="0"/>
        <w:spacing w:before="198" w:after="198" w:line="560" w:lineRule="exact"/>
        <w:rPr>
          <w:rFonts w:hint="default"/>
        </w:rPr>
      </w:pPr>
      <w:bookmarkStart w:id="396" w:name="_Toc13346"/>
      <w:bookmarkStart w:id="397" w:name="_Toc22482"/>
      <w:r>
        <w:t>安全架构设计</w:t>
      </w:r>
      <w:bookmarkEnd w:id="396"/>
      <w:bookmarkEnd w:id="397"/>
    </w:p>
    <w:p>
      <w:pPr>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数智化管控系统安全技术架构包括安全物理环境、安全通信网络、安全区域边界、安全计算环境、安全管理中心五个方面，安全架构图如下：</w:t>
      </w:r>
    </w:p>
    <w:p>
      <w:pPr>
        <w:kinsoku/>
        <w:wordWrap/>
        <w:topLinePunct w:val="0"/>
        <w:autoSpaceDE/>
        <w:autoSpaceDN/>
        <w:bidi w:val="0"/>
        <w:adjustRightInd/>
        <w:snapToGrid/>
        <w:spacing w:line="560" w:lineRule="exact"/>
        <w:ind w:firstLine="0" w:firstLineChars="0"/>
        <w:rPr>
          <w:rFonts w:ascii="方正仿宋_GBK" w:hAnsi="方正仿宋_GBK"/>
          <w:spacing w:val="0"/>
        </w:rPr>
      </w:pPr>
      <w:r>
        <w:rPr>
          <w:rFonts w:hint="eastAsia" w:ascii="方正仿宋_GBK" w:hAnsi="方正仿宋_GBK"/>
          <w:spacing w:val="0"/>
        </w:rPr>
        <w:drawing>
          <wp:inline distT="0" distB="0" distL="0" distR="0">
            <wp:extent cx="5241925" cy="3952875"/>
            <wp:effectExtent l="0" t="0" r="15875"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41925" cy="3952875"/>
                    </a:xfrm>
                    <a:prstGeom prst="rect">
                      <a:avLst/>
                    </a:prstGeom>
                    <a:noFill/>
                    <a:ln>
                      <a:noFill/>
                    </a:ln>
                  </pic:spPr>
                </pic:pic>
              </a:graphicData>
            </a:graphic>
          </wp:inline>
        </w:drawing>
      </w:r>
    </w:p>
    <w:p>
      <w:pPr>
        <w:pStyle w:val="15"/>
        <w:numPr>
          <w:ilvl w:val="0"/>
          <w:numId w:val="10"/>
        </w:numPr>
        <w:tabs>
          <w:tab w:val="left" w:pos="0"/>
        </w:tabs>
        <w:kinsoku/>
        <w:wordWrap/>
        <w:topLinePunct w:val="0"/>
        <w:autoSpaceDE/>
        <w:autoSpaceDN/>
        <w:bidi w:val="0"/>
        <w:spacing w:before="198" w:after="397" w:line="560" w:lineRule="exact"/>
        <w:rPr>
          <w:rFonts w:ascii="方正仿宋_GBK" w:hAnsi="方正仿宋_GBK"/>
          <w:sz w:val="28"/>
        </w:rPr>
      </w:pPr>
      <w:r>
        <w:rPr>
          <w:rFonts w:hint="eastAsia" w:ascii="方正仿宋_GBK" w:hAnsi="方正仿宋_GBK"/>
          <w:sz w:val="28"/>
        </w:rPr>
        <w:t>安全架构图</w:t>
      </w:r>
    </w:p>
    <w:p>
      <w:pPr>
        <w:kinsoku/>
        <w:wordWrap/>
        <w:topLinePunct w:val="0"/>
        <w:autoSpaceDE/>
        <w:autoSpaceDN/>
        <w:bidi w:val="0"/>
        <w:spacing w:line="560" w:lineRule="exact"/>
        <w:ind w:firstLine="534" w:firstLineChars="177"/>
        <w:jc w:val="both"/>
        <w:rPr>
          <w:rFonts w:ascii="方正仿宋_GBK" w:hAnsi="方正仿宋_GBK"/>
        </w:rPr>
      </w:pPr>
      <w:r>
        <w:rPr>
          <w:rFonts w:hint="eastAsia" w:ascii="方正仿宋_GBK" w:hAnsi="方正仿宋_GBK"/>
        </w:rPr>
        <w:t>数智化管控系统安全环境除满足《信息安全技术 网络安全等级保护安全设计技术要求》（GB/T 25070-2019）标准中第三级安全要求的安全通用要求外，还应从安全物理环境、安全通信网络、安全区域边界、安全计算环境、安全管理中心、安全运维管理等几方面满足第三级安全要求的云计算安全扩展要求。</w:t>
      </w:r>
    </w:p>
    <w:p>
      <w:pPr>
        <w:kinsoku/>
        <w:wordWrap/>
        <w:topLinePunct w:val="0"/>
        <w:autoSpaceDE/>
        <w:autoSpaceDN/>
        <w:bidi w:val="0"/>
        <w:spacing w:line="560" w:lineRule="exact"/>
        <w:ind w:firstLine="534" w:firstLineChars="177"/>
        <w:jc w:val="both"/>
        <w:rPr>
          <w:rFonts w:ascii="方正仿宋_GBK" w:hAnsi="方正仿宋_GBK"/>
        </w:rPr>
      </w:pPr>
      <w:r>
        <w:rPr>
          <w:rFonts w:hint="eastAsia" w:ascii="方正仿宋_GBK" w:hAnsi="方正仿宋_GBK"/>
        </w:rPr>
        <w:t>本次建议由系统集成商协调云服务提供商、软件开发厂商、安全服务厂商为数智化管控系统提供满足等保三级相关要求的安全服务，包括安全物理环境、安全计算环境、安全区域边界、安全通信网络、安全管理中心、安全管理制度、安全运营体系、云计算安全、平台应用安全。在安全系统配备方面，具备主机安全组件、堡垒机组件、数据库审计组件、日志审计组件、Web应用防火墙组件、终端病毒防护等安全保障。</w:t>
      </w:r>
    </w:p>
    <w:p>
      <w:pPr>
        <w:pStyle w:val="7"/>
        <w:kinsoku/>
        <w:wordWrap/>
        <w:topLinePunct w:val="0"/>
        <w:autoSpaceDE/>
        <w:autoSpaceDN/>
        <w:bidi w:val="0"/>
        <w:spacing w:before="198" w:after="198" w:line="560" w:lineRule="exact"/>
        <w:rPr>
          <w:rFonts w:hint="default"/>
        </w:rPr>
      </w:pPr>
      <w:bookmarkStart w:id="398" w:name="_Toc4044"/>
      <w:bookmarkStart w:id="399" w:name="_Toc12026"/>
      <w:bookmarkStart w:id="400" w:name="_Toc5103"/>
      <w:bookmarkStart w:id="401" w:name="_Toc16014"/>
      <w:bookmarkStart w:id="402" w:name="_Toc6044"/>
      <w:r>
        <w:t>安全设计要求</w:t>
      </w:r>
      <w:bookmarkEnd w:id="398"/>
      <w:bookmarkEnd w:id="399"/>
    </w:p>
    <w:p>
      <w:pPr>
        <w:pStyle w:val="8"/>
        <w:kinsoku/>
        <w:wordWrap/>
        <w:topLinePunct w:val="0"/>
        <w:autoSpaceDE/>
        <w:autoSpaceDN/>
        <w:bidi w:val="0"/>
        <w:spacing w:before="198" w:after="198" w:line="560" w:lineRule="exact"/>
      </w:pPr>
      <w:r>
        <w:rPr>
          <w:rFonts w:hint="eastAsia"/>
        </w:rPr>
        <w:t>安全物理</w:t>
      </w:r>
      <w:bookmarkEnd w:id="400"/>
      <w:bookmarkEnd w:id="401"/>
      <w:r>
        <w:rPr>
          <w:rFonts w:hint="eastAsia"/>
        </w:rPr>
        <w:t>环境</w:t>
      </w:r>
      <w:bookmarkEnd w:id="402"/>
    </w:p>
    <w:p>
      <w:pPr>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本项目系统基于云平台</w:t>
      </w:r>
      <w:r>
        <w:rPr>
          <w:rFonts w:hint="eastAsia" w:ascii="方正仿宋_GBK" w:hAnsi="方正仿宋_GBK"/>
          <w:lang w:val="en-US" w:eastAsia="zh-CN"/>
        </w:rPr>
        <w:t>部署</w:t>
      </w:r>
      <w:r>
        <w:rPr>
          <w:rFonts w:hint="eastAsia" w:ascii="方正仿宋_GBK" w:hAnsi="方正仿宋_GBK"/>
        </w:rPr>
        <w:t>，由云服务商提供安全物理环境，包括防雷、防火、防水、防潮、防盗窃、</w:t>
      </w:r>
      <w:r>
        <w:rPr>
          <w:rFonts w:hint="eastAsia" w:ascii="方正仿宋_GBK" w:hAnsi="方正仿宋_GBK"/>
          <w:lang w:eastAsia="zh-CN"/>
        </w:rPr>
        <w:t>防</w:t>
      </w:r>
      <w:r>
        <w:rPr>
          <w:rFonts w:hint="eastAsia" w:ascii="方正仿宋_GBK" w:hAnsi="方正仿宋_GBK"/>
        </w:rPr>
        <w:t>破坏、防静电等内容的保护，且具有物理访问控制、温湿度控制、电磁防护等防护措施的物理环境。</w:t>
      </w:r>
    </w:p>
    <w:p>
      <w:pPr>
        <w:pStyle w:val="8"/>
        <w:kinsoku/>
        <w:wordWrap/>
        <w:topLinePunct w:val="0"/>
        <w:autoSpaceDE/>
        <w:autoSpaceDN/>
        <w:bidi w:val="0"/>
        <w:spacing w:before="198" w:after="198" w:line="560" w:lineRule="exact"/>
      </w:pPr>
      <w:r>
        <w:rPr>
          <w:rFonts w:hint="eastAsia"/>
        </w:rPr>
        <w:t>安全计算环境</w:t>
      </w:r>
    </w:p>
    <w:p>
      <w:pPr>
        <w:pStyle w:val="2"/>
        <w:widowControl w:val="0"/>
        <w:kinsoku/>
        <w:wordWrap/>
        <w:topLinePunct w:val="0"/>
        <w:autoSpaceDE/>
        <w:autoSpaceDN/>
        <w:bidi w:val="0"/>
        <w:spacing w:line="560" w:lineRule="exact"/>
        <w:ind w:left="604" w:leftChars="200" w:firstLine="0" w:firstLineChars="0"/>
        <w:jc w:val="both"/>
        <w:rPr>
          <w:rFonts w:ascii="方正仿宋_GBK" w:hAnsi="方正仿宋_GBK"/>
          <w:kern w:val="2"/>
          <w:lang w:val="zh-CN"/>
        </w:rPr>
      </w:pPr>
      <w:r>
        <w:rPr>
          <w:rFonts w:hint="eastAsia" w:ascii="方正仿宋_GBK" w:hAnsi="方正仿宋_GBK"/>
          <w:kern w:val="2"/>
        </w:rPr>
        <w:t>1.</w:t>
      </w:r>
      <w:r>
        <w:rPr>
          <w:rFonts w:hint="eastAsia" w:ascii="方正仿宋_GBK" w:hAnsi="方正仿宋_GBK"/>
          <w:kern w:val="2"/>
          <w:lang w:val="zh-CN"/>
        </w:rPr>
        <w:t>安全认证系统</w:t>
      </w:r>
    </w:p>
    <w:p>
      <w:pPr>
        <w:kinsoku/>
        <w:wordWrap/>
        <w:topLinePunct w:val="0"/>
        <w:autoSpaceDE/>
        <w:autoSpaceDN/>
        <w:bidi w:val="0"/>
        <w:spacing w:line="560" w:lineRule="exact"/>
        <w:ind w:firstLine="604"/>
        <w:jc w:val="both"/>
        <w:rPr>
          <w:rFonts w:ascii="方正仿宋_GBK" w:hAnsi="方正仿宋_GBK"/>
          <w:lang w:val="zh-CN"/>
        </w:rPr>
      </w:pPr>
      <w:r>
        <w:rPr>
          <w:rFonts w:hint="eastAsia" w:ascii="方正仿宋_GBK" w:hAnsi="方正仿宋_GBK"/>
          <w:lang w:val="zh-CN"/>
        </w:rPr>
        <w:t>安全认证系统为平台开展各种业务提供统一认证，</w:t>
      </w:r>
      <w:r>
        <w:rPr>
          <w:rFonts w:hint="eastAsia" w:ascii="方正仿宋_GBK" w:hAnsi="方正仿宋_GBK"/>
        </w:rPr>
        <w:t>可以</w:t>
      </w:r>
      <w:r>
        <w:rPr>
          <w:rFonts w:hint="eastAsia" w:ascii="方正仿宋_GBK" w:hAnsi="方正仿宋_GBK"/>
          <w:lang w:val="zh-CN"/>
        </w:rPr>
        <w:t>实现数字证书的受理、发放、更新、统一认证、授权管理</w:t>
      </w:r>
      <w:r>
        <w:rPr>
          <w:rFonts w:hint="eastAsia" w:ascii="方正仿宋_GBK" w:hAnsi="方正仿宋_GBK"/>
        </w:rPr>
        <w:t>及</w:t>
      </w:r>
      <w:r>
        <w:rPr>
          <w:rFonts w:hint="eastAsia" w:ascii="方正仿宋_GBK" w:hAnsi="方正仿宋_GBK"/>
          <w:lang w:val="zh-CN"/>
        </w:rPr>
        <w:t>废止；基于数字证书</w:t>
      </w:r>
      <w:r>
        <w:rPr>
          <w:rFonts w:hint="eastAsia" w:ascii="方正仿宋_GBK" w:hAnsi="方正仿宋_GBK"/>
        </w:rPr>
        <w:t>可以实现</w:t>
      </w:r>
      <w:r>
        <w:rPr>
          <w:rFonts w:hint="eastAsia" w:ascii="方正仿宋_GBK" w:hAnsi="方正仿宋_GBK"/>
          <w:lang w:val="zh-CN"/>
        </w:rPr>
        <w:t>各项安全应用功能，为各个应用系统直接提供可信认证、完整性保护、访问控制、单点登录、权限管理等基本安全服务。</w:t>
      </w:r>
    </w:p>
    <w:p>
      <w:pPr>
        <w:pStyle w:val="2"/>
        <w:widowControl w:val="0"/>
        <w:kinsoku/>
        <w:wordWrap/>
        <w:topLinePunct w:val="0"/>
        <w:autoSpaceDE/>
        <w:autoSpaceDN/>
        <w:bidi w:val="0"/>
        <w:spacing w:line="560" w:lineRule="exact"/>
        <w:ind w:left="604" w:leftChars="200" w:firstLine="0" w:firstLineChars="0"/>
        <w:jc w:val="both"/>
        <w:rPr>
          <w:rFonts w:ascii="方正仿宋_GBK" w:hAnsi="方正仿宋_GBK"/>
          <w:kern w:val="2"/>
          <w:lang w:val="zh-CN"/>
        </w:rPr>
      </w:pPr>
      <w:r>
        <w:rPr>
          <w:rFonts w:hint="eastAsia" w:ascii="方正仿宋_GBK" w:hAnsi="方正仿宋_GBK"/>
          <w:kern w:val="2"/>
        </w:rPr>
        <w:t>2.</w:t>
      </w:r>
      <w:r>
        <w:rPr>
          <w:rFonts w:hint="eastAsia" w:ascii="方正仿宋_GBK" w:hAnsi="方正仿宋_GBK"/>
          <w:kern w:val="2"/>
          <w:lang w:val="zh-CN"/>
        </w:rPr>
        <w:t>运维审计系统</w:t>
      </w:r>
    </w:p>
    <w:p>
      <w:pPr>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采用“物理旁路，逻辑串联”的部署方式，通过配置路由器或目标设备的访问控制策略，只允许集中运维审计的IP访问目标设备的运维、管理服务，建立基于唯一身份标识的实名制管理，统一账号管理策略，通过集中访问控制与授权，实现从登录到退出的全程操作行为审计，满足合规管理和审计要求。</w:t>
      </w:r>
    </w:p>
    <w:p>
      <w:pPr>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具备身份鉴别作用，本项要求包括：</w:t>
      </w:r>
    </w:p>
    <w:p>
      <w:pPr>
        <w:widowControl w:val="0"/>
        <w:numPr>
          <w:ilvl w:val="0"/>
          <w:numId w:val="109"/>
        </w:numPr>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应对登录的用户进行身份标识和鉴别，身份标识具有唯一性，身份鉴别信息具有复杂度要求并定期更换；</w:t>
      </w:r>
    </w:p>
    <w:p>
      <w:pPr>
        <w:widowControl w:val="0"/>
        <w:numPr>
          <w:ilvl w:val="0"/>
          <w:numId w:val="109"/>
        </w:numPr>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应具有登录失败处理功能，应配置并启用结束会话、限制非法登录次数和当登录连接超时自动退出等相关措施；</w:t>
      </w:r>
    </w:p>
    <w:p>
      <w:pPr>
        <w:widowControl w:val="0"/>
        <w:numPr>
          <w:ilvl w:val="0"/>
          <w:numId w:val="109"/>
        </w:numPr>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当进行远程管理时，应采取必要措施防止鉴别信息在网络传输过程中被窃听；</w:t>
      </w:r>
    </w:p>
    <w:p>
      <w:pPr>
        <w:widowControl w:val="0"/>
        <w:numPr>
          <w:ilvl w:val="0"/>
          <w:numId w:val="109"/>
        </w:numPr>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应采用口令、密码技术、生物技术等两种或两种以上组合的鉴别技术对用户进行身份鉴别，且其中一种鉴别技术至少应使用密码技术来实现。</w:t>
      </w:r>
    </w:p>
    <w:p>
      <w:pPr>
        <w:pStyle w:val="2"/>
        <w:widowControl w:val="0"/>
        <w:kinsoku/>
        <w:wordWrap/>
        <w:topLinePunct w:val="0"/>
        <w:autoSpaceDE/>
        <w:autoSpaceDN/>
        <w:bidi w:val="0"/>
        <w:spacing w:line="560" w:lineRule="exact"/>
        <w:ind w:left="604" w:leftChars="200" w:firstLine="0" w:firstLineChars="0"/>
        <w:jc w:val="both"/>
        <w:rPr>
          <w:rFonts w:ascii="方正仿宋_GBK" w:hAnsi="方正仿宋_GBK"/>
          <w:kern w:val="2"/>
          <w:lang w:val="zh-CN"/>
        </w:rPr>
      </w:pPr>
      <w:r>
        <w:rPr>
          <w:rFonts w:hint="eastAsia" w:ascii="方正仿宋_GBK" w:hAnsi="方正仿宋_GBK"/>
          <w:kern w:val="2"/>
        </w:rPr>
        <w:t>3.</w:t>
      </w:r>
      <w:r>
        <w:rPr>
          <w:rFonts w:hint="eastAsia" w:ascii="方正仿宋_GBK" w:hAnsi="方正仿宋_GBK"/>
          <w:kern w:val="2"/>
          <w:lang w:val="zh-CN"/>
        </w:rPr>
        <w:t>日志审计</w:t>
      </w:r>
    </w:p>
    <w:p>
      <w:pPr>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配置对包括网络设备、安全设备与系统、主机、数据库、存储、应用和服务在内的多种审计数据源的日志采集。采集到的日志进行范式化处理，对不同日志格式进行统一描述，并进行日志分类，增加日志类型，根据所需要的事件记录内容，建立报表模板。</w:t>
      </w:r>
    </w:p>
    <w:p>
      <w:pPr>
        <w:pStyle w:val="2"/>
        <w:widowControl w:val="0"/>
        <w:kinsoku/>
        <w:wordWrap/>
        <w:topLinePunct w:val="0"/>
        <w:autoSpaceDE/>
        <w:autoSpaceDN/>
        <w:bidi w:val="0"/>
        <w:spacing w:line="560" w:lineRule="exact"/>
        <w:ind w:left="604" w:leftChars="200" w:firstLine="0" w:firstLineChars="0"/>
        <w:jc w:val="both"/>
        <w:rPr>
          <w:rFonts w:ascii="方正仿宋_GBK" w:hAnsi="方正仿宋_GBK"/>
        </w:rPr>
      </w:pPr>
      <w:r>
        <w:rPr>
          <w:rFonts w:hint="eastAsia" w:ascii="方正仿宋_GBK" w:hAnsi="方正仿宋_GBK"/>
          <w:kern w:val="2"/>
        </w:rPr>
        <w:t>4.</w:t>
      </w:r>
      <w:r>
        <w:rPr>
          <w:rFonts w:hint="eastAsia" w:ascii="方正仿宋_GBK" w:hAnsi="方正仿宋_GBK"/>
          <w:kern w:val="2"/>
          <w:lang w:val="zh-CN"/>
        </w:rPr>
        <w:t>数据库</w:t>
      </w:r>
      <w:r>
        <w:rPr>
          <w:rFonts w:hint="eastAsia" w:ascii="方正仿宋_GBK" w:hAnsi="方正仿宋_GBK"/>
        </w:rPr>
        <w:t>审计</w:t>
      </w:r>
    </w:p>
    <w:p>
      <w:pPr>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通过部署数据库审计系统，实现对用户行为、用户事件及系统状态加以审计，范围覆盖到每个用户，从而把握数据库系统的整体安全。</w:t>
      </w:r>
    </w:p>
    <w:p>
      <w:pPr>
        <w:pStyle w:val="2"/>
        <w:widowControl w:val="0"/>
        <w:kinsoku/>
        <w:wordWrap/>
        <w:topLinePunct w:val="0"/>
        <w:autoSpaceDE/>
        <w:autoSpaceDN/>
        <w:bidi w:val="0"/>
        <w:spacing w:line="560" w:lineRule="exact"/>
        <w:ind w:left="604" w:leftChars="200" w:firstLine="0" w:firstLineChars="0"/>
        <w:jc w:val="both"/>
        <w:rPr>
          <w:rFonts w:ascii="方正仿宋_GBK" w:hAnsi="方正仿宋_GBK"/>
          <w:kern w:val="2"/>
          <w:lang w:val="zh-CN"/>
        </w:rPr>
      </w:pPr>
      <w:r>
        <w:rPr>
          <w:rFonts w:hint="eastAsia" w:ascii="方正仿宋_GBK" w:hAnsi="方正仿宋_GBK"/>
          <w:kern w:val="2"/>
        </w:rPr>
        <w:t>5.</w:t>
      </w:r>
      <w:r>
        <w:rPr>
          <w:rFonts w:hint="eastAsia" w:ascii="方正仿宋_GBK" w:hAnsi="方正仿宋_GBK"/>
          <w:kern w:val="2"/>
          <w:lang w:val="zh-CN"/>
        </w:rPr>
        <w:t>漏洞扫描</w:t>
      </w:r>
    </w:p>
    <w:p>
      <w:pPr>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漏洞检测系统对平台主机、操作系统、数据库系统、应用系统等进行全面检查，全面发现信息系统、网络设备、终端软件存在的安全漏洞，检查系统存在的弱口令，收集系统不必要开放的账号、服务、端口，形成整体安全风险报告，发现可能存在的已知漏洞，并在经过充分测试评估后，及时修补漏洞。</w:t>
      </w:r>
    </w:p>
    <w:p>
      <w:pPr>
        <w:pStyle w:val="2"/>
        <w:widowControl w:val="0"/>
        <w:kinsoku/>
        <w:wordWrap/>
        <w:topLinePunct w:val="0"/>
        <w:autoSpaceDE/>
        <w:autoSpaceDN/>
        <w:bidi w:val="0"/>
        <w:spacing w:line="560" w:lineRule="exact"/>
        <w:ind w:left="604" w:leftChars="200" w:firstLine="0" w:firstLineChars="0"/>
        <w:jc w:val="both"/>
        <w:rPr>
          <w:rFonts w:ascii="方正仿宋_GBK" w:hAnsi="方正仿宋_GBK"/>
          <w:kern w:val="2"/>
          <w:lang w:val="zh-CN"/>
        </w:rPr>
      </w:pPr>
      <w:r>
        <w:rPr>
          <w:rFonts w:hint="eastAsia" w:ascii="方正仿宋_GBK" w:hAnsi="方正仿宋_GBK"/>
          <w:kern w:val="2"/>
        </w:rPr>
        <w:t>6.</w:t>
      </w:r>
      <w:r>
        <w:rPr>
          <w:rFonts w:hint="eastAsia" w:ascii="方正仿宋_GBK" w:hAnsi="方正仿宋_GBK"/>
          <w:kern w:val="2"/>
          <w:lang w:val="zh-CN"/>
        </w:rPr>
        <w:t>防病毒系统</w:t>
      </w:r>
    </w:p>
    <w:p>
      <w:pPr>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防病毒系统统一管理网络内防病毒策略定制及升级，且具有防病毒的功能，可以</w:t>
      </w:r>
      <w:r>
        <w:rPr>
          <w:rFonts w:hint="eastAsia" w:ascii="方正仿宋_GBK" w:hAnsi="方正仿宋_GBK"/>
          <w:lang w:eastAsia="zh-CN"/>
        </w:rPr>
        <w:t>有效地阻止</w:t>
      </w:r>
      <w:r>
        <w:rPr>
          <w:rFonts w:hint="eastAsia" w:ascii="方正仿宋_GBK" w:hAnsi="方正仿宋_GBK"/>
        </w:rPr>
        <w:t>来自外界的病毒入侵，能够实现对HTTP、SMTP、POP3、IMAP、FTP等协议全文内容过滤。</w:t>
      </w:r>
    </w:p>
    <w:p>
      <w:pPr>
        <w:pStyle w:val="2"/>
        <w:widowControl w:val="0"/>
        <w:kinsoku/>
        <w:wordWrap/>
        <w:topLinePunct w:val="0"/>
        <w:autoSpaceDE/>
        <w:autoSpaceDN/>
        <w:bidi w:val="0"/>
        <w:spacing w:line="560" w:lineRule="exact"/>
        <w:ind w:left="604" w:leftChars="200" w:firstLine="0" w:firstLineChars="0"/>
        <w:jc w:val="both"/>
        <w:rPr>
          <w:rFonts w:ascii="方正仿宋_GBK" w:hAnsi="方正仿宋_GBK"/>
          <w:kern w:val="2"/>
        </w:rPr>
      </w:pPr>
      <w:r>
        <w:rPr>
          <w:rFonts w:hint="eastAsia" w:ascii="方正仿宋_GBK" w:hAnsi="方正仿宋_GBK"/>
        </w:rPr>
        <w:t>7.Web</w:t>
      </w:r>
      <w:r>
        <w:rPr>
          <w:rFonts w:hint="eastAsia" w:ascii="方正仿宋_GBK" w:hAnsi="方正仿宋_GBK"/>
          <w:kern w:val="2"/>
          <w:lang w:val="zh-CN"/>
        </w:rPr>
        <w:t>应用防护</w:t>
      </w:r>
    </w:p>
    <w:p>
      <w:pPr>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Web应用防护提供对应用系统全方位的防护，针对Web服务器漏洞、Web插件漏洞、爬虫、挂马、注入、跨站攻击、暴力破解、盗链、恶意扫描等进行防护，并能实现URL访问控制和http协议检测，全面防护web应用安全，实现入侵防范，保障服务器集群技术、Web应用加速、策略路由、访问控制、SSL认证服务等功能运行，提升系统WEB应用服务的完整性、可靠性、可用性、抗攻击能力和服务能力。</w:t>
      </w:r>
    </w:p>
    <w:p>
      <w:pPr>
        <w:pStyle w:val="2"/>
        <w:widowControl w:val="0"/>
        <w:kinsoku/>
        <w:wordWrap/>
        <w:topLinePunct w:val="0"/>
        <w:autoSpaceDE/>
        <w:autoSpaceDN/>
        <w:bidi w:val="0"/>
        <w:spacing w:line="560" w:lineRule="exact"/>
        <w:ind w:left="604" w:leftChars="200" w:firstLine="0" w:firstLineChars="0"/>
        <w:jc w:val="both"/>
        <w:rPr>
          <w:rFonts w:ascii="方正仿宋_GBK" w:hAnsi="方正仿宋_GBK"/>
          <w:kern w:val="2"/>
          <w:lang w:val="zh-CN"/>
        </w:rPr>
      </w:pPr>
      <w:r>
        <w:rPr>
          <w:rFonts w:hint="eastAsia" w:ascii="方正仿宋_GBK" w:hAnsi="方正仿宋_GBK"/>
          <w:kern w:val="2"/>
        </w:rPr>
        <w:t>8.</w:t>
      </w:r>
      <w:r>
        <w:rPr>
          <w:rFonts w:hint="eastAsia" w:ascii="方正仿宋_GBK" w:hAnsi="方正仿宋_GBK"/>
          <w:kern w:val="2"/>
          <w:lang w:val="zh-CN"/>
        </w:rPr>
        <w:t>数据备份</w:t>
      </w:r>
    </w:p>
    <w:p>
      <w:pPr>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备份系统用于对包括网络设备、安全设备的设备配置进行定时备份，以及故障恢复设备配置等。</w:t>
      </w:r>
    </w:p>
    <w:p>
      <w:pPr>
        <w:pStyle w:val="2"/>
        <w:widowControl w:val="0"/>
        <w:kinsoku/>
        <w:wordWrap/>
        <w:topLinePunct w:val="0"/>
        <w:autoSpaceDE/>
        <w:autoSpaceDN/>
        <w:bidi w:val="0"/>
        <w:spacing w:line="560" w:lineRule="exact"/>
        <w:ind w:left="604" w:leftChars="200" w:firstLine="0" w:firstLineChars="0"/>
        <w:jc w:val="both"/>
        <w:rPr>
          <w:rFonts w:ascii="方正仿宋_GBK" w:hAnsi="方正仿宋_GBK"/>
          <w:kern w:val="2"/>
          <w:lang w:val="zh-CN"/>
        </w:rPr>
      </w:pPr>
      <w:r>
        <w:rPr>
          <w:rFonts w:hint="eastAsia" w:ascii="方正仿宋_GBK" w:hAnsi="方正仿宋_GBK"/>
          <w:kern w:val="2"/>
        </w:rPr>
        <w:t>9.</w:t>
      </w:r>
      <w:r>
        <w:rPr>
          <w:rFonts w:hint="eastAsia" w:ascii="方正仿宋_GBK" w:hAnsi="方正仿宋_GBK"/>
          <w:kern w:val="2"/>
          <w:lang w:val="zh-CN"/>
        </w:rPr>
        <w:t>软件应用安全</w:t>
      </w:r>
    </w:p>
    <w:p>
      <w:pPr>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在平台的设计开发过程中，软件开发厂家要加强软件、应用的安全设计，依照软件安全编码规范进行应用系统开发，包括但不限于采用强身份认证、细粒度的访问控制以及安全审计，避免后台管理页面的互联网访问，结构化存储，统一的字符</w:t>
      </w:r>
      <w:r>
        <w:rPr>
          <w:rFonts w:hint="eastAsia" w:ascii="方正仿宋_GBK" w:hAnsi="方正仿宋_GBK"/>
          <w:lang w:eastAsia="zh-CN"/>
        </w:rPr>
        <w:t>过滤</w:t>
      </w:r>
      <w:r>
        <w:rPr>
          <w:rFonts w:hint="eastAsia" w:ascii="方正仿宋_GBK" w:hAnsi="方正仿宋_GBK"/>
        </w:rPr>
        <w:t>等，避免由于不规范的安全开发造成的安全隐患；在系统应用上线前使用漏洞扫描工具进行安全性审查和整改，确保系统应用无严重漏洞后方可上线；在对外网站上部署网站证书，用于网站传输数据加密、防范中间人攻击；采用密码技术保证重要数据在传输过程中的保密性，包括但不限于鉴别数据、重要业务数据和重要个人信息等。</w:t>
      </w:r>
    </w:p>
    <w:p>
      <w:pPr>
        <w:kinsoku/>
        <w:wordWrap/>
        <w:topLinePunct w:val="0"/>
        <w:autoSpaceDE/>
        <w:autoSpaceDN/>
        <w:bidi w:val="0"/>
        <w:spacing w:line="560" w:lineRule="exact"/>
        <w:ind w:firstLine="604"/>
        <w:jc w:val="both"/>
        <w:rPr>
          <w:rFonts w:ascii="方正仿宋_GBK" w:hAnsi="方正仿宋_GBK"/>
        </w:rPr>
      </w:pPr>
      <w:r>
        <w:rPr>
          <w:rFonts w:hint="eastAsia" w:ascii="方正仿宋_GBK" w:hAnsi="方正仿宋_GBK"/>
        </w:rPr>
        <w:t>软件应用安全策略设计如下：</w:t>
      </w:r>
    </w:p>
    <w:p>
      <w:pPr>
        <w:pStyle w:val="2"/>
        <w:numPr>
          <w:ilvl w:val="0"/>
          <w:numId w:val="110"/>
        </w:numPr>
        <w:tabs>
          <w:tab w:val="left" w:pos="1000"/>
          <w:tab w:val="left" w:pos="1040"/>
        </w:tabs>
        <w:kinsoku/>
        <w:wordWrap/>
        <w:topLinePunct w:val="0"/>
        <w:autoSpaceDE/>
        <w:autoSpaceDN/>
        <w:bidi w:val="0"/>
        <w:spacing w:line="560" w:lineRule="exact"/>
        <w:ind w:firstLine="604"/>
        <w:jc w:val="both"/>
        <w:textAlignment w:val="baseline"/>
        <w:rPr>
          <w:rFonts w:ascii="方正仿宋_GBK" w:hAnsi="方正仿宋_GBK"/>
          <w:kern w:val="2"/>
        </w:rPr>
      </w:pPr>
      <w:r>
        <w:rPr>
          <w:rFonts w:hint="eastAsia" w:ascii="方正仿宋_GBK" w:hAnsi="方正仿宋_GBK"/>
          <w:kern w:val="2"/>
        </w:rPr>
        <w:t>用户注册帐号，采用安全HTTPS(SSL/TLS)协议，前后端传输的内容加密，避免明文传输。</w:t>
      </w:r>
    </w:p>
    <w:p>
      <w:pPr>
        <w:pStyle w:val="2"/>
        <w:numPr>
          <w:ilvl w:val="0"/>
          <w:numId w:val="110"/>
        </w:numPr>
        <w:tabs>
          <w:tab w:val="left" w:pos="1000"/>
          <w:tab w:val="left" w:pos="1040"/>
        </w:tabs>
        <w:kinsoku/>
        <w:wordWrap/>
        <w:topLinePunct w:val="0"/>
        <w:autoSpaceDE/>
        <w:autoSpaceDN/>
        <w:bidi w:val="0"/>
        <w:spacing w:line="560" w:lineRule="exact"/>
        <w:ind w:firstLine="604"/>
        <w:jc w:val="both"/>
        <w:textAlignment w:val="baseline"/>
        <w:rPr>
          <w:rFonts w:ascii="方正仿宋_GBK" w:hAnsi="方正仿宋_GBK"/>
          <w:kern w:val="2"/>
        </w:rPr>
      </w:pPr>
      <w:r>
        <w:rPr>
          <w:rFonts w:hint="eastAsia" w:ascii="方正仿宋_GBK" w:hAnsi="方正仿宋_GBK"/>
          <w:kern w:val="2"/>
        </w:rPr>
        <w:t>系统采用纯RSA公钥认证，RSA是目前最有影响力的公钥加密算法，ISO推荐为公钥数据加密标准。</w:t>
      </w:r>
    </w:p>
    <w:p>
      <w:pPr>
        <w:pStyle w:val="2"/>
        <w:numPr>
          <w:ilvl w:val="0"/>
          <w:numId w:val="110"/>
        </w:numPr>
        <w:tabs>
          <w:tab w:val="left" w:pos="1000"/>
          <w:tab w:val="left" w:pos="1040"/>
        </w:tabs>
        <w:kinsoku/>
        <w:wordWrap/>
        <w:topLinePunct w:val="0"/>
        <w:autoSpaceDE/>
        <w:autoSpaceDN/>
        <w:bidi w:val="0"/>
        <w:spacing w:line="560" w:lineRule="exact"/>
        <w:ind w:firstLine="604"/>
        <w:jc w:val="both"/>
        <w:textAlignment w:val="baseline"/>
        <w:rPr>
          <w:rFonts w:ascii="方正仿宋_GBK" w:hAnsi="方正仿宋_GBK"/>
          <w:kern w:val="2"/>
        </w:rPr>
      </w:pPr>
      <w:r>
        <w:rPr>
          <w:rFonts w:hint="eastAsia" w:ascii="方正仿宋_GBK" w:hAnsi="方正仿宋_GBK"/>
          <w:kern w:val="2"/>
        </w:rPr>
        <w:t>用户登录验证：用户登录系统，用户名+密码+手机验证码方式，验证码使用时效，限制用户必须在指定的时限内完成验证，增加暴力破解难度，重复5次输入密码错误，系统锁定用户登录，15分钟后允许再次登录或申请密码重置。</w:t>
      </w:r>
    </w:p>
    <w:p>
      <w:pPr>
        <w:pStyle w:val="2"/>
        <w:numPr>
          <w:ilvl w:val="0"/>
          <w:numId w:val="110"/>
        </w:numPr>
        <w:tabs>
          <w:tab w:val="left" w:pos="1000"/>
          <w:tab w:val="left" w:pos="1040"/>
        </w:tabs>
        <w:kinsoku/>
        <w:wordWrap/>
        <w:topLinePunct w:val="0"/>
        <w:autoSpaceDE/>
        <w:autoSpaceDN/>
        <w:bidi w:val="0"/>
        <w:spacing w:line="560" w:lineRule="exact"/>
        <w:ind w:firstLine="604"/>
        <w:jc w:val="both"/>
        <w:textAlignment w:val="baseline"/>
        <w:rPr>
          <w:rFonts w:ascii="方正仿宋_GBK" w:hAnsi="方正仿宋_GBK"/>
          <w:kern w:val="2"/>
        </w:rPr>
      </w:pPr>
      <w:r>
        <w:rPr>
          <w:rFonts w:hint="eastAsia" w:ascii="方正仿宋_GBK" w:hAnsi="方正仿宋_GBK"/>
          <w:kern w:val="2"/>
        </w:rPr>
        <w:t>用户密码重置：用户申请密码重置，获取短信验证码，录入个人身份信息、账号，短信获取重置密码。</w:t>
      </w:r>
    </w:p>
    <w:p>
      <w:pPr>
        <w:pStyle w:val="2"/>
        <w:numPr>
          <w:ilvl w:val="0"/>
          <w:numId w:val="110"/>
        </w:numPr>
        <w:tabs>
          <w:tab w:val="left" w:pos="1000"/>
          <w:tab w:val="left" w:pos="1040"/>
        </w:tabs>
        <w:kinsoku/>
        <w:wordWrap/>
        <w:topLinePunct w:val="0"/>
        <w:autoSpaceDE/>
        <w:autoSpaceDN/>
        <w:bidi w:val="0"/>
        <w:spacing w:line="560" w:lineRule="exact"/>
        <w:ind w:firstLine="604"/>
        <w:jc w:val="both"/>
        <w:textAlignment w:val="baseline"/>
        <w:rPr>
          <w:rFonts w:ascii="方正仿宋_GBK" w:hAnsi="方正仿宋_GBK"/>
          <w:kern w:val="2"/>
        </w:rPr>
      </w:pPr>
      <w:r>
        <w:rPr>
          <w:rFonts w:hint="eastAsia" w:ascii="方正仿宋_GBK" w:hAnsi="方正仿宋_GBK"/>
          <w:kern w:val="2"/>
        </w:rPr>
        <w:t>用户密码复杂度：密码最小长度、特殊字符、特殊字符个数、字母大小写区分，密码组成（大/小字母</w:t>
      </w:r>
      <w:r>
        <w:rPr>
          <w:rFonts w:hint="eastAsia" w:ascii="方正仿宋_GBK" w:hAnsi="方正仿宋_GBK"/>
          <w:kern w:val="2"/>
          <w:lang w:eastAsia="zh-CN"/>
        </w:rPr>
        <w:t>，</w:t>
      </w:r>
      <w:r>
        <w:rPr>
          <w:rFonts w:hint="eastAsia" w:ascii="方正仿宋_GBK" w:hAnsi="方正仿宋_GBK"/>
          <w:kern w:val="2"/>
        </w:rPr>
        <w:t>数字</w:t>
      </w:r>
      <w:r>
        <w:rPr>
          <w:rFonts w:hint="eastAsia" w:ascii="方正仿宋_GBK" w:hAnsi="方正仿宋_GBK"/>
          <w:kern w:val="2"/>
          <w:lang w:eastAsia="zh-CN"/>
        </w:rPr>
        <w:t>，</w:t>
      </w:r>
      <w:r>
        <w:rPr>
          <w:rFonts w:hint="eastAsia" w:ascii="方正仿宋_GBK" w:hAnsi="方正仿宋_GBK"/>
          <w:kern w:val="2"/>
        </w:rPr>
        <w:t>特殊字符），不满足复杂度设定条件，提示重新设置密码。</w:t>
      </w:r>
    </w:p>
    <w:p>
      <w:pPr>
        <w:pStyle w:val="2"/>
        <w:numPr>
          <w:ilvl w:val="0"/>
          <w:numId w:val="110"/>
        </w:numPr>
        <w:tabs>
          <w:tab w:val="left" w:pos="1000"/>
          <w:tab w:val="left" w:pos="1040"/>
        </w:tabs>
        <w:kinsoku/>
        <w:wordWrap/>
        <w:topLinePunct w:val="0"/>
        <w:autoSpaceDE/>
        <w:autoSpaceDN/>
        <w:bidi w:val="0"/>
        <w:spacing w:line="560" w:lineRule="exact"/>
        <w:ind w:firstLine="604"/>
        <w:jc w:val="both"/>
        <w:textAlignment w:val="baseline"/>
        <w:rPr>
          <w:rFonts w:ascii="方正仿宋_GBK" w:hAnsi="方正仿宋_GBK"/>
          <w:kern w:val="2"/>
        </w:rPr>
      </w:pPr>
      <w:r>
        <w:rPr>
          <w:rFonts w:hint="eastAsia" w:ascii="方正仿宋_GBK" w:hAnsi="方正仿宋_GBK"/>
          <w:kern w:val="2"/>
        </w:rPr>
        <w:t>用户密码最大有效期：设置用户使用该密码登录的最大时间，大于有效期值提示用户重新设置密码，通过短信验证码+用户身份信息，重新获取设置密码操作权限。</w:t>
      </w:r>
    </w:p>
    <w:p>
      <w:pPr>
        <w:kinsoku/>
        <w:wordWrap/>
        <w:topLinePunct w:val="0"/>
        <w:autoSpaceDE/>
        <w:autoSpaceDN/>
        <w:bidi w:val="0"/>
        <w:spacing w:line="560" w:lineRule="exact"/>
        <w:ind w:firstLine="604"/>
        <w:jc w:val="both"/>
        <w:rPr>
          <w:rFonts w:ascii="方正仿宋_GBK" w:hAnsi="方正仿宋_GBK"/>
          <w:snapToGrid w:val="0"/>
          <w:kern w:val="2"/>
        </w:rPr>
      </w:pPr>
      <w:r>
        <w:rPr>
          <w:rFonts w:hint="eastAsia" w:ascii="方正仿宋_GBK" w:hAnsi="方正仿宋_GBK"/>
          <w:snapToGrid w:val="0"/>
          <w:kern w:val="2"/>
        </w:rPr>
        <w:t>10. 终端病毒防护</w:t>
      </w:r>
    </w:p>
    <w:p>
      <w:pPr>
        <w:kinsoku/>
        <w:wordWrap/>
        <w:topLinePunct w:val="0"/>
        <w:autoSpaceDE/>
        <w:autoSpaceDN/>
        <w:bidi w:val="0"/>
        <w:spacing w:line="560" w:lineRule="exact"/>
        <w:ind w:firstLine="604"/>
        <w:jc w:val="both"/>
        <w:rPr>
          <w:rFonts w:ascii="方正仿宋_GBK" w:hAnsi="方正仿宋_GBK"/>
          <w:snapToGrid w:val="0"/>
          <w:kern w:val="2"/>
        </w:rPr>
      </w:pPr>
      <w:r>
        <w:rPr>
          <w:rFonts w:hint="eastAsia" w:ascii="方正仿宋_GBK" w:hAnsi="方正仿宋_GBK"/>
          <w:snapToGrid w:val="0"/>
          <w:kern w:val="2"/>
        </w:rPr>
        <w:t>目前农业投资集团终端使用市国资委统一授权的腾讯电脑管家进行终端防护，由于授权的防护手段较少，本次考虑在系统主机及集团内部60台终端上部署主动免疫产品或使用终端防病毒系统。</w:t>
      </w:r>
    </w:p>
    <w:p>
      <w:pPr>
        <w:pStyle w:val="8"/>
        <w:kinsoku/>
        <w:wordWrap/>
        <w:topLinePunct w:val="0"/>
        <w:autoSpaceDE/>
        <w:autoSpaceDN/>
        <w:bidi w:val="0"/>
        <w:spacing w:before="198" w:after="198" w:line="560" w:lineRule="exact"/>
      </w:pPr>
      <w:r>
        <w:rPr>
          <w:rFonts w:hint="eastAsia"/>
        </w:rPr>
        <w:t>安全区域边界</w:t>
      </w:r>
    </w:p>
    <w:p>
      <w:pPr>
        <w:pStyle w:val="2"/>
        <w:widowControl w:val="0"/>
        <w:numPr>
          <w:ilvl w:val="0"/>
          <w:numId w:val="111"/>
        </w:numPr>
        <w:kinsoku/>
        <w:wordWrap/>
        <w:topLinePunct w:val="0"/>
        <w:autoSpaceDE/>
        <w:autoSpaceDN/>
        <w:bidi w:val="0"/>
        <w:spacing w:line="560" w:lineRule="exact"/>
        <w:ind w:firstLine="604"/>
        <w:jc w:val="both"/>
        <w:rPr>
          <w:rFonts w:ascii="方正仿宋_GBK" w:hAnsi="方正仿宋_GBK"/>
          <w:kern w:val="2"/>
        </w:rPr>
      </w:pPr>
      <w:r>
        <w:rPr>
          <w:rFonts w:hint="eastAsia" w:ascii="方正仿宋_GBK" w:hAnsi="方正仿宋_GBK"/>
          <w:kern w:val="2"/>
        </w:rPr>
        <w:t>安全域边界隔离</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根据《信息安全技术网络安全等级保护基本要求》，应该平台各安全域的边界处部署防火墙设备，将内部网和外部不信任网络、内部网络中主要的应用服务器和内部</w:t>
      </w:r>
      <w:r>
        <w:rPr>
          <w:rFonts w:hint="eastAsia" w:ascii="方正仿宋_GBK" w:hAnsi="方正仿宋_GBK"/>
          <w:lang w:eastAsia="zh-CN"/>
        </w:rPr>
        <w:t>其他</w:t>
      </w:r>
      <w:r>
        <w:rPr>
          <w:rFonts w:hint="eastAsia" w:ascii="方正仿宋_GBK" w:hAnsi="方正仿宋_GBK"/>
        </w:rPr>
        <w:t>网段用防火墙隔离保护，通过在网络边界建立以应用为核心的网络安全策略，通过智能化识别、精细化控制等逐层递进方式实现用户/应用行为的可视、可控、合规和安全，最终保障物联网平台安全高效的运转。</w:t>
      </w:r>
    </w:p>
    <w:p>
      <w:pPr>
        <w:pStyle w:val="2"/>
        <w:widowControl w:val="0"/>
        <w:numPr>
          <w:ilvl w:val="0"/>
          <w:numId w:val="111"/>
        </w:numPr>
        <w:kinsoku/>
        <w:wordWrap/>
        <w:topLinePunct w:val="0"/>
        <w:autoSpaceDE/>
        <w:autoSpaceDN/>
        <w:bidi w:val="0"/>
        <w:spacing w:line="560" w:lineRule="exact"/>
        <w:ind w:firstLine="604"/>
        <w:jc w:val="both"/>
        <w:rPr>
          <w:rFonts w:ascii="方正仿宋_GBK" w:hAnsi="方正仿宋_GBK"/>
          <w:kern w:val="2"/>
        </w:rPr>
      </w:pPr>
      <w:r>
        <w:rPr>
          <w:rFonts w:hint="eastAsia" w:ascii="方正仿宋_GBK" w:hAnsi="方正仿宋_GBK"/>
        </w:rPr>
        <w:t>访问</w:t>
      </w:r>
      <w:r>
        <w:rPr>
          <w:rFonts w:hint="eastAsia" w:ascii="方正仿宋_GBK" w:hAnsi="方正仿宋_GBK"/>
          <w:kern w:val="2"/>
        </w:rPr>
        <w:t>控制</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各安全域边界通过边界物理防火墙、VPC、云防火墙等控制手段实现访问控制。</w:t>
      </w:r>
    </w:p>
    <w:p>
      <w:pPr>
        <w:pStyle w:val="2"/>
        <w:widowControl w:val="0"/>
        <w:numPr>
          <w:ilvl w:val="0"/>
          <w:numId w:val="111"/>
        </w:numPr>
        <w:kinsoku/>
        <w:wordWrap/>
        <w:topLinePunct w:val="0"/>
        <w:autoSpaceDE/>
        <w:autoSpaceDN/>
        <w:bidi w:val="0"/>
        <w:spacing w:line="560" w:lineRule="exact"/>
        <w:ind w:firstLine="604"/>
        <w:jc w:val="both"/>
        <w:rPr>
          <w:rFonts w:ascii="方正仿宋_GBK" w:hAnsi="方正仿宋_GBK"/>
          <w:kern w:val="2"/>
        </w:rPr>
      </w:pPr>
      <w:r>
        <w:rPr>
          <w:rFonts w:hint="eastAsia" w:ascii="方正仿宋_GBK" w:hAnsi="方正仿宋_GBK"/>
        </w:rPr>
        <w:t>网络攻击监测</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通过网络攻击监测设备从网络背景流量中准确地识别出各种已知和未知的拒绝服务攻击流量，网络攻击监测技术是对各类网络攻击进行精准防护的前提条件。</w:t>
      </w:r>
    </w:p>
    <w:p>
      <w:pPr>
        <w:pStyle w:val="2"/>
        <w:widowControl w:val="0"/>
        <w:numPr>
          <w:ilvl w:val="0"/>
          <w:numId w:val="111"/>
        </w:numPr>
        <w:kinsoku/>
        <w:wordWrap/>
        <w:topLinePunct w:val="0"/>
        <w:autoSpaceDE/>
        <w:autoSpaceDN/>
        <w:bidi w:val="0"/>
        <w:spacing w:line="560" w:lineRule="exact"/>
        <w:ind w:firstLine="604"/>
        <w:jc w:val="both"/>
        <w:rPr>
          <w:rFonts w:ascii="方正仿宋_GBK" w:hAnsi="方正仿宋_GBK"/>
          <w:kern w:val="2"/>
        </w:rPr>
      </w:pPr>
      <w:r>
        <w:rPr>
          <w:rFonts w:hint="eastAsia" w:ascii="方正仿宋_GBK" w:hAnsi="方正仿宋_GBK"/>
        </w:rPr>
        <w:t>网络层攻击防护</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部署本地抗DDOS设备，实现对网络异常流量的对抗和清洗；</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lang w:eastAsia="zh-CN"/>
        </w:rPr>
        <w:t>在</w:t>
      </w:r>
      <w:r>
        <w:rPr>
          <w:rFonts w:hint="eastAsia" w:ascii="方正仿宋_GBK" w:hAnsi="方正仿宋_GBK"/>
        </w:rPr>
        <w:t>互联网出口处进行入侵防御，实现对入侵行为的实时发现和阻断防护；</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出口防火墙提供病毒防护功能，从网络层面进行病毒杀除，确保病毒不会从互联网传入内部网络。</w:t>
      </w:r>
    </w:p>
    <w:p>
      <w:pPr>
        <w:pStyle w:val="8"/>
        <w:kinsoku/>
        <w:wordWrap/>
        <w:topLinePunct w:val="0"/>
        <w:autoSpaceDE/>
        <w:autoSpaceDN/>
        <w:bidi w:val="0"/>
        <w:spacing w:before="198" w:after="198" w:line="560" w:lineRule="exact"/>
      </w:pPr>
      <w:r>
        <w:rPr>
          <w:rFonts w:hint="eastAsia"/>
        </w:rPr>
        <w:t>安全通信网络</w:t>
      </w:r>
    </w:p>
    <w:p>
      <w:pPr>
        <w:pStyle w:val="2"/>
        <w:kinsoku/>
        <w:wordWrap/>
        <w:topLinePunct w:val="0"/>
        <w:autoSpaceDE/>
        <w:autoSpaceDN/>
        <w:bidi w:val="0"/>
        <w:spacing w:line="560" w:lineRule="exact"/>
        <w:ind w:left="604" w:leftChars="200" w:firstLine="0" w:firstLineChars="0"/>
        <w:rPr>
          <w:rFonts w:ascii="方正仿宋_GBK" w:hAnsi="方正仿宋_GBK"/>
          <w:kern w:val="2"/>
          <w:lang w:val="zh-CN"/>
        </w:rPr>
      </w:pPr>
      <w:r>
        <w:rPr>
          <w:rFonts w:hint="eastAsia" w:ascii="方正仿宋_GBK" w:hAnsi="方正仿宋_GBK"/>
          <w:kern w:val="2"/>
        </w:rPr>
        <w:t>1.</w:t>
      </w:r>
      <w:r>
        <w:rPr>
          <w:rFonts w:hint="eastAsia" w:ascii="方正仿宋_GBK" w:hAnsi="方正仿宋_GBK"/>
          <w:kern w:val="2"/>
          <w:lang w:val="zh-CN"/>
        </w:rPr>
        <w:t>网络架构安全</w:t>
      </w:r>
    </w:p>
    <w:p>
      <w:pPr>
        <w:widowControl w:val="0"/>
        <w:numPr>
          <w:ilvl w:val="0"/>
          <w:numId w:val="112"/>
        </w:numPr>
        <w:kinsoku/>
        <w:wordWrap/>
        <w:topLinePunct w:val="0"/>
        <w:autoSpaceDE/>
        <w:autoSpaceDN/>
        <w:bidi w:val="0"/>
        <w:spacing w:line="560" w:lineRule="exact"/>
        <w:ind w:left="0" w:firstLine="604"/>
        <w:jc w:val="both"/>
        <w:rPr>
          <w:rFonts w:ascii="方正仿宋_GBK" w:hAnsi="方正仿宋_GBK"/>
          <w:lang w:val="zh-CN"/>
        </w:rPr>
      </w:pPr>
      <w:r>
        <w:rPr>
          <w:rFonts w:hint="eastAsia" w:ascii="方正仿宋_GBK" w:hAnsi="方正仿宋_GBK"/>
          <w:lang w:val="zh-CN"/>
        </w:rPr>
        <w:t>网络设备冗余</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网络设备设计双机冗余结构，并采用堆叠、虚拟集群、热备等技术，实现网络设备故障时的实时切换，降低单台网络设备故障时对整个网络信息平台业务的影响。</w:t>
      </w:r>
    </w:p>
    <w:p>
      <w:pPr>
        <w:widowControl w:val="0"/>
        <w:numPr>
          <w:ilvl w:val="0"/>
          <w:numId w:val="112"/>
        </w:numPr>
        <w:kinsoku/>
        <w:wordWrap/>
        <w:topLinePunct w:val="0"/>
        <w:autoSpaceDE/>
        <w:autoSpaceDN/>
        <w:bidi w:val="0"/>
        <w:spacing w:line="560" w:lineRule="exact"/>
        <w:ind w:left="0" w:firstLine="604"/>
        <w:jc w:val="both"/>
        <w:rPr>
          <w:rFonts w:ascii="方正仿宋_GBK" w:hAnsi="方正仿宋_GBK"/>
          <w:lang w:val="zh-CN"/>
        </w:rPr>
      </w:pPr>
      <w:r>
        <w:rPr>
          <w:rFonts w:hint="eastAsia" w:ascii="方正仿宋_GBK" w:hAnsi="方正仿宋_GBK"/>
          <w:lang w:val="zh-CN"/>
        </w:rPr>
        <w:t>网络链路冗余</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服务器至接入交换机、接入交换机至核心交换机、核心交换机至出口路由器等内部网络链路均采用双路冗余设计，降低单条内部网络链路故障时对整个网络平台业务的影响。</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互联网出口、电子政务外网出口等外部网络链路均采用双链路冗余设计，且互联网出口链路选择不同运营商的链路，降低单条外部出口网络链路故障时对整个网络和平台业务的影响。</w:t>
      </w:r>
    </w:p>
    <w:p>
      <w:pPr>
        <w:widowControl w:val="0"/>
        <w:numPr>
          <w:ilvl w:val="0"/>
          <w:numId w:val="112"/>
        </w:numPr>
        <w:kinsoku/>
        <w:wordWrap/>
        <w:topLinePunct w:val="0"/>
        <w:autoSpaceDE/>
        <w:autoSpaceDN/>
        <w:bidi w:val="0"/>
        <w:spacing w:line="560" w:lineRule="exact"/>
        <w:ind w:left="0" w:firstLine="604"/>
        <w:jc w:val="both"/>
        <w:rPr>
          <w:rFonts w:ascii="方正仿宋_GBK" w:hAnsi="方正仿宋_GBK"/>
          <w:lang w:val="zh-CN"/>
        </w:rPr>
      </w:pPr>
      <w:r>
        <w:rPr>
          <w:rFonts w:hint="eastAsia" w:ascii="方正仿宋_GBK" w:hAnsi="方正仿宋_GBK"/>
          <w:lang w:val="zh-CN"/>
        </w:rPr>
        <w:t>关键节点设备BYPASS功能</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为不对整体网络健壮冗余的设计造成负面影响，在公共服务出口区、核心业务出口区串联至网络的IPS（入侵防护）等设备应当具备BYPASS功能，避免网络单点隐患。</w:t>
      </w:r>
    </w:p>
    <w:p>
      <w:pPr>
        <w:pStyle w:val="2"/>
        <w:kinsoku/>
        <w:wordWrap/>
        <w:topLinePunct w:val="0"/>
        <w:autoSpaceDE/>
        <w:autoSpaceDN/>
        <w:bidi w:val="0"/>
        <w:spacing w:line="560" w:lineRule="exact"/>
        <w:ind w:left="604" w:leftChars="200" w:firstLine="0" w:firstLineChars="0"/>
        <w:rPr>
          <w:rFonts w:ascii="方正仿宋_GBK" w:hAnsi="方正仿宋_GBK"/>
          <w:kern w:val="2"/>
          <w:lang w:val="zh-CN"/>
        </w:rPr>
      </w:pPr>
      <w:r>
        <w:rPr>
          <w:rFonts w:hint="eastAsia" w:ascii="方正仿宋_GBK" w:hAnsi="方正仿宋_GBK"/>
          <w:kern w:val="2"/>
        </w:rPr>
        <w:t>2.</w:t>
      </w:r>
      <w:r>
        <w:rPr>
          <w:rFonts w:hint="eastAsia" w:ascii="方正仿宋_GBK" w:hAnsi="方正仿宋_GBK"/>
          <w:kern w:val="2"/>
          <w:lang w:val="zh-CN"/>
        </w:rPr>
        <w:t>通信传输安全</w:t>
      </w:r>
    </w:p>
    <w:p>
      <w:pPr>
        <w:widowControl w:val="0"/>
        <w:numPr>
          <w:ilvl w:val="0"/>
          <w:numId w:val="113"/>
        </w:numPr>
        <w:kinsoku/>
        <w:wordWrap/>
        <w:topLinePunct w:val="0"/>
        <w:autoSpaceDE/>
        <w:autoSpaceDN/>
        <w:bidi w:val="0"/>
        <w:spacing w:line="560" w:lineRule="exact"/>
        <w:ind w:left="0" w:firstLine="604"/>
        <w:jc w:val="both"/>
        <w:rPr>
          <w:rFonts w:ascii="方正仿宋_GBK" w:hAnsi="方正仿宋_GBK"/>
        </w:rPr>
      </w:pPr>
      <w:r>
        <w:rPr>
          <w:rFonts w:hint="eastAsia" w:ascii="方正仿宋_GBK" w:hAnsi="方正仿宋_GBK"/>
        </w:rPr>
        <w:t>通信网络数据传输完整性保护</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采用密码等技术支持的完整性校验机制</w:t>
      </w:r>
      <w:r>
        <w:rPr>
          <w:rFonts w:hint="eastAsia" w:ascii="方正仿宋_GBK" w:hAnsi="方正仿宋_GBK"/>
          <w:lang w:eastAsia="zh-CN"/>
        </w:rPr>
        <w:t>，</w:t>
      </w:r>
      <w:r>
        <w:rPr>
          <w:rFonts w:hint="eastAsia" w:ascii="方正仿宋_GBK" w:hAnsi="方正仿宋_GBK"/>
        </w:rPr>
        <w:t>检验存储和处理的用户数据的完整性</w:t>
      </w:r>
      <w:r>
        <w:rPr>
          <w:rFonts w:hint="eastAsia" w:ascii="方正仿宋_GBK" w:hAnsi="方正仿宋_GBK"/>
          <w:lang w:eastAsia="zh-CN"/>
        </w:rPr>
        <w:t>，</w:t>
      </w:r>
      <w:r>
        <w:rPr>
          <w:rFonts w:hint="eastAsia" w:ascii="方正仿宋_GBK" w:hAnsi="方正仿宋_GBK"/>
        </w:rPr>
        <w:t>以发现其完整性是否被破坏</w:t>
      </w:r>
      <w:r>
        <w:rPr>
          <w:rFonts w:hint="eastAsia" w:ascii="方正仿宋_GBK" w:hAnsi="方正仿宋_GBK"/>
          <w:lang w:eastAsia="zh-CN"/>
        </w:rPr>
        <w:t>，</w:t>
      </w:r>
      <w:r>
        <w:rPr>
          <w:rFonts w:hint="eastAsia" w:ascii="方正仿宋_GBK" w:hAnsi="方正仿宋_GBK"/>
        </w:rPr>
        <w:t>且在其受到破坏时能对重要数据进行恢复。</w:t>
      </w:r>
    </w:p>
    <w:p>
      <w:pPr>
        <w:widowControl w:val="0"/>
        <w:numPr>
          <w:ilvl w:val="0"/>
          <w:numId w:val="113"/>
        </w:numPr>
        <w:kinsoku/>
        <w:wordWrap/>
        <w:topLinePunct w:val="0"/>
        <w:autoSpaceDE/>
        <w:autoSpaceDN/>
        <w:bidi w:val="0"/>
        <w:spacing w:line="560" w:lineRule="exact"/>
        <w:ind w:left="0" w:firstLine="604"/>
        <w:jc w:val="both"/>
        <w:rPr>
          <w:rFonts w:ascii="方正仿宋_GBK" w:hAnsi="方正仿宋_GBK"/>
        </w:rPr>
      </w:pPr>
      <w:r>
        <w:rPr>
          <w:rFonts w:hint="eastAsia" w:ascii="方正仿宋_GBK" w:hAnsi="方正仿宋_GBK"/>
        </w:rPr>
        <w:t>通信网络数据传输保密性保护</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根据等级保护的要求，三级业务系统必须加密传输，因此需要部署SSL VPN技术实现应用系统远程访问的加密。</w:t>
      </w:r>
    </w:p>
    <w:p>
      <w:pPr>
        <w:widowControl w:val="0"/>
        <w:numPr>
          <w:ilvl w:val="0"/>
          <w:numId w:val="113"/>
        </w:numPr>
        <w:kinsoku/>
        <w:wordWrap/>
        <w:topLinePunct w:val="0"/>
        <w:autoSpaceDE/>
        <w:autoSpaceDN/>
        <w:bidi w:val="0"/>
        <w:spacing w:line="560" w:lineRule="exact"/>
        <w:ind w:left="0" w:firstLine="604"/>
        <w:jc w:val="both"/>
        <w:rPr>
          <w:rFonts w:ascii="方正仿宋_GBK" w:hAnsi="方正仿宋_GBK"/>
        </w:rPr>
      </w:pPr>
      <w:r>
        <w:rPr>
          <w:rFonts w:hint="eastAsia" w:ascii="方正仿宋_GBK" w:hAnsi="方正仿宋_GBK"/>
        </w:rPr>
        <w:t>通信网络可信接入保护</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通过VPDN等技术实现基于密码算法的可信网络连接机制，通过对连接到通信网络的设备进行可信检验</w:t>
      </w:r>
      <w:r>
        <w:rPr>
          <w:rFonts w:hint="eastAsia" w:ascii="方正仿宋_GBK" w:hAnsi="方正仿宋_GBK"/>
          <w:lang w:eastAsia="zh-CN"/>
        </w:rPr>
        <w:t>，</w:t>
      </w:r>
      <w:r>
        <w:rPr>
          <w:rFonts w:hint="eastAsia" w:ascii="方正仿宋_GBK" w:hAnsi="方正仿宋_GBK"/>
        </w:rPr>
        <w:t>确保接入通信网络的设备真实可信</w:t>
      </w:r>
      <w:r>
        <w:rPr>
          <w:rFonts w:hint="eastAsia" w:ascii="方正仿宋_GBK" w:hAnsi="方正仿宋_GBK"/>
          <w:lang w:eastAsia="zh-CN"/>
        </w:rPr>
        <w:t>，</w:t>
      </w:r>
      <w:r>
        <w:rPr>
          <w:rFonts w:hint="eastAsia" w:ascii="方正仿宋_GBK" w:hAnsi="方正仿宋_GBK"/>
        </w:rPr>
        <w:t>防止设备的非法接入。</w:t>
      </w:r>
    </w:p>
    <w:p>
      <w:pPr>
        <w:widowControl w:val="0"/>
        <w:numPr>
          <w:ilvl w:val="0"/>
          <w:numId w:val="113"/>
        </w:numPr>
        <w:kinsoku/>
        <w:wordWrap/>
        <w:topLinePunct w:val="0"/>
        <w:autoSpaceDE/>
        <w:autoSpaceDN/>
        <w:bidi w:val="0"/>
        <w:spacing w:line="560" w:lineRule="exact"/>
        <w:ind w:left="0" w:firstLine="604"/>
        <w:jc w:val="both"/>
        <w:rPr>
          <w:rFonts w:ascii="方正仿宋_GBK" w:hAnsi="方正仿宋_GBK"/>
        </w:rPr>
      </w:pPr>
      <w:r>
        <w:rPr>
          <w:rFonts w:hint="eastAsia" w:ascii="方正仿宋_GBK" w:hAnsi="方正仿宋_GBK"/>
        </w:rPr>
        <w:t>感知层网络数据新鲜性保护</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在感知层网络传输的数据中加入数据发布的序列信息如时间戳、计数器等</w:t>
      </w:r>
      <w:r>
        <w:rPr>
          <w:rFonts w:hint="eastAsia" w:ascii="方正仿宋_GBK" w:hAnsi="方正仿宋_GBK"/>
          <w:lang w:eastAsia="zh-CN"/>
        </w:rPr>
        <w:t>，</w:t>
      </w:r>
      <w:r>
        <w:rPr>
          <w:rFonts w:hint="eastAsia" w:ascii="方正仿宋_GBK" w:hAnsi="方正仿宋_GBK"/>
        </w:rPr>
        <w:t>以实现感知层网络数据传输新鲜性保护。</w:t>
      </w:r>
    </w:p>
    <w:p>
      <w:pPr>
        <w:widowControl w:val="0"/>
        <w:numPr>
          <w:ilvl w:val="0"/>
          <w:numId w:val="113"/>
        </w:numPr>
        <w:kinsoku/>
        <w:wordWrap/>
        <w:topLinePunct w:val="0"/>
        <w:autoSpaceDE/>
        <w:autoSpaceDN/>
        <w:bidi w:val="0"/>
        <w:spacing w:line="560" w:lineRule="exact"/>
        <w:ind w:left="0" w:firstLine="604"/>
        <w:jc w:val="both"/>
        <w:rPr>
          <w:rFonts w:ascii="方正仿宋_GBK" w:hAnsi="方正仿宋_GBK"/>
        </w:rPr>
      </w:pPr>
      <w:r>
        <w:rPr>
          <w:rFonts w:hint="eastAsia" w:ascii="方正仿宋_GBK" w:hAnsi="方正仿宋_GBK"/>
        </w:rPr>
        <w:t>异构网安全接入保护</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采用接入认证等技术建立异构网络的接入认证系统</w:t>
      </w:r>
      <w:r>
        <w:rPr>
          <w:rFonts w:hint="eastAsia" w:ascii="方正仿宋_GBK" w:hAnsi="方正仿宋_GBK"/>
          <w:lang w:eastAsia="zh-CN"/>
        </w:rPr>
        <w:t>，</w:t>
      </w:r>
      <w:r>
        <w:rPr>
          <w:rFonts w:hint="eastAsia" w:ascii="方正仿宋_GBK" w:hAnsi="方正仿宋_GBK"/>
        </w:rPr>
        <w:t>保障控制信息的安全传输；根据各接入网的工作职能、重要性和所涉及信息的重要程度等因素，划分不同的子网或网段</w:t>
      </w:r>
      <w:r>
        <w:rPr>
          <w:rFonts w:hint="eastAsia" w:ascii="方正仿宋_GBK" w:hAnsi="方正仿宋_GBK"/>
          <w:lang w:eastAsia="zh-CN"/>
        </w:rPr>
        <w:t>，</w:t>
      </w:r>
      <w:r>
        <w:rPr>
          <w:rFonts w:hint="eastAsia" w:ascii="方正仿宋_GBK" w:hAnsi="方正仿宋_GBK"/>
        </w:rPr>
        <w:t>并采取相应的防护措施。</w:t>
      </w:r>
    </w:p>
    <w:p>
      <w:pPr>
        <w:pStyle w:val="2"/>
        <w:kinsoku/>
        <w:wordWrap/>
        <w:topLinePunct w:val="0"/>
        <w:autoSpaceDE/>
        <w:autoSpaceDN/>
        <w:bidi w:val="0"/>
        <w:spacing w:line="560" w:lineRule="exact"/>
        <w:ind w:left="604" w:leftChars="200" w:firstLine="0" w:firstLineChars="0"/>
        <w:rPr>
          <w:rFonts w:ascii="方正仿宋_GBK" w:hAnsi="方正仿宋_GBK"/>
          <w:kern w:val="2"/>
          <w:lang w:val="zh-CN"/>
        </w:rPr>
      </w:pPr>
      <w:r>
        <w:rPr>
          <w:rFonts w:hint="eastAsia" w:ascii="方正仿宋_GBK" w:hAnsi="方正仿宋_GBK"/>
          <w:kern w:val="2"/>
        </w:rPr>
        <w:t>3.</w:t>
      </w:r>
      <w:r>
        <w:rPr>
          <w:rFonts w:hint="eastAsia" w:ascii="方正仿宋_GBK" w:hAnsi="方正仿宋_GBK"/>
          <w:kern w:val="2"/>
          <w:lang w:val="zh-CN"/>
        </w:rPr>
        <w:t>可信连接验证</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可基于可信根对计算节点的BIOS、引导程序、操作系统内核、应用程序等进行可信验证</w:t>
      </w:r>
      <w:r>
        <w:rPr>
          <w:rFonts w:hint="eastAsia" w:ascii="方正仿宋_GBK" w:hAnsi="方正仿宋_GBK"/>
          <w:lang w:eastAsia="zh-CN"/>
        </w:rPr>
        <w:t>，</w:t>
      </w:r>
      <w:r>
        <w:rPr>
          <w:rFonts w:hint="eastAsia" w:ascii="方正仿宋_GBK" w:hAnsi="方正仿宋_GBK"/>
        </w:rPr>
        <w:t>并在应用程序的关键执行环节对系统调用的主体、客体、操作可信验证</w:t>
      </w:r>
      <w:r>
        <w:rPr>
          <w:rFonts w:hint="eastAsia" w:ascii="方正仿宋_GBK" w:hAnsi="方正仿宋_GBK"/>
          <w:lang w:eastAsia="zh-CN"/>
        </w:rPr>
        <w:t>，</w:t>
      </w:r>
      <w:r>
        <w:rPr>
          <w:rFonts w:hint="eastAsia" w:ascii="方正仿宋_GBK" w:hAnsi="方正仿宋_GBK"/>
        </w:rPr>
        <w:t>并对中断、关键内存区域等执行资源进行可信验证</w:t>
      </w:r>
      <w:r>
        <w:rPr>
          <w:rFonts w:hint="eastAsia" w:ascii="方正仿宋_GBK" w:hAnsi="方正仿宋_GBK"/>
          <w:lang w:eastAsia="zh-CN"/>
        </w:rPr>
        <w:t>，</w:t>
      </w:r>
      <w:r>
        <w:rPr>
          <w:rFonts w:hint="eastAsia" w:ascii="方正仿宋_GBK" w:hAnsi="方正仿宋_GBK"/>
        </w:rPr>
        <w:t>并在检测到其可信性受到破坏时采取措施恢复</w:t>
      </w:r>
      <w:r>
        <w:rPr>
          <w:rFonts w:hint="eastAsia" w:ascii="方正仿宋_GBK" w:hAnsi="方正仿宋_GBK"/>
          <w:lang w:eastAsia="zh-CN"/>
        </w:rPr>
        <w:t>，</w:t>
      </w:r>
      <w:r>
        <w:rPr>
          <w:rFonts w:hint="eastAsia" w:ascii="方正仿宋_GBK" w:hAnsi="方正仿宋_GBK"/>
        </w:rPr>
        <w:t>并将验证结果形成审计记录</w:t>
      </w:r>
      <w:r>
        <w:rPr>
          <w:rFonts w:hint="eastAsia" w:ascii="方正仿宋_GBK" w:hAnsi="方正仿宋_GBK"/>
          <w:lang w:eastAsia="zh-CN"/>
        </w:rPr>
        <w:t>，</w:t>
      </w:r>
      <w:r>
        <w:rPr>
          <w:rFonts w:hint="eastAsia" w:ascii="方正仿宋_GBK" w:hAnsi="方正仿宋_GBK"/>
        </w:rPr>
        <w:t>送至管理中心。</w:t>
      </w:r>
    </w:p>
    <w:p>
      <w:pPr>
        <w:pStyle w:val="8"/>
        <w:kinsoku/>
        <w:wordWrap/>
        <w:topLinePunct w:val="0"/>
        <w:autoSpaceDE/>
        <w:autoSpaceDN/>
        <w:bidi w:val="0"/>
        <w:spacing w:before="198" w:after="198" w:line="560" w:lineRule="exact"/>
      </w:pPr>
      <w:r>
        <w:rPr>
          <w:rFonts w:hint="eastAsia"/>
        </w:rPr>
        <w:t>安全管理中心</w:t>
      </w:r>
    </w:p>
    <w:p>
      <w:pPr>
        <w:pStyle w:val="2"/>
        <w:widowControl w:val="0"/>
        <w:kinsoku/>
        <w:wordWrap/>
        <w:topLinePunct w:val="0"/>
        <w:autoSpaceDE/>
        <w:autoSpaceDN/>
        <w:bidi w:val="0"/>
        <w:spacing w:line="560" w:lineRule="exact"/>
        <w:ind w:left="604" w:leftChars="200" w:firstLine="0" w:firstLineChars="0"/>
        <w:jc w:val="both"/>
        <w:rPr>
          <w:rFonts w:ascii="方正仿宋_GBK" w:hAnsi="方正仿宋_GBK"/>
          <w:kern w:val="2"/>
          <w:lang w:val="zh-CN"/>
        </w:rPr>
      </w:pPr>
      <w:r>
        <w:rPr>
          <w:rFonts w:hint="eastAsia" w:ascii="方正仿宋_GBK" w:hAnsi="方正仿宋_GBK"/>
          <w:kern w:val="2"/>
        </w:rPr>
        <w:t>1.</w:t>
      </w:r>
      <w:r>
        <w:rPr>
          <w:rFonts w:hint="eastAsia" w:ascii="方正仿宋_GBK" w:hAnsi="方正仿宋_GBK"/>
          <w:kern w:val="2"/>
          <w:lang w:val="zh-CN"/>
        </w:rPr>
        <w:t>安全管理制度</w:t>
      </w:r>
    </w:p>
    <w:p>
      <w:pPr>
        <w:kinsoku/>
        <w:wordWrap/>
        <w:topLinePunct w:val="0"/>
        <w:autoSpaceDE/>
        <w:autoSpaceDN/>
        <w:bidi w:val="0"/>
        <w:spacing w:line="560" w:lineRule="exact"/>
        <w:ind w:firstLine="604"/>
        <w:rPr>
          <w:rFonts w:ascii="方正仿宋_GBK" w:hAnsi="方正仿宋_GBK"/>
          <w:lang w:val="zh-CN"/>
        </w:rPr>
      </w:pPr>
      <w:r>
        <w:rPr>
          <w:rFonts w:hint="eastAsia" w:ascii="方正仿宋_GBK" w:hAnsi="方正仿宋_GBK"/>
          <w:lang w:val="zh-CN"/>
        </w:rPr>
        <w:t>本项目严格按照国家及行业安全标准规范设计建设，遵照各级安全法律法规，安全管理制度等，采取切实有效的措施，确保系统安全稳定运行。应用层面和系统层面制度管理主要包括：账号的申请、审批、分配、删除/禁用等。各信息系统应建立“岗位权限对照表”，制定工作岗位与系统权限的对应关系和互斥原则，对具体岗位作出具体的权限管理制度。应尽量避免特权账号和超级用户账号的临时使用，确需使用时必须履行正规的申请及审批流程，并符合相关的安全管理制度，实现更好地对特权账号和超级用户账号的日常监督。</w:t>
      </w:r>
    </w:p>
    <w:p>
      <w:pPr>
        <w:pStyle w:val="2"/>
        <w:widowControl w:val="0"/>
        <w:kinsoku/>
        <w:wordWrap/>
        <w:topLinePunct w:val="0"/>
        <w:autoSpaceDE/>
        <w:autoSpaceDN/>
        <w:bidi w:val="0"/>
        <w:spacing w:line="560" w:lineRule="exact"/>
        <w:ind w:left="604" w:leftChars="200" w:firstLine="0" w:firstLineChars="0"/>
        <w:jc w:val="both"/>
        <w:rPr>
          <w:rFonts w:ascii="方正仿宋_GBK" w:hAnsi="方正仿宋_GBK"/>
          <w:kern w:val="2"/>
          <w:lang w:val="zh-CN"/>
        </w:rPr>
      </w:pPr>
      <w:r>
        <w:rPr>
          <w:rFonts w:hint="eastAsia" w:ascii="方正仿宋_GBK" w:hAnsi="方正仿宋_GBK"/>
          <w:kern w:val="2"/>
        </w:rPr>
        <w:t>2.</w:t>
      </w:r>
      <w:r>
        <w:rPr>
          <w:rFonts w:hint="eastAsia" w:ascii="方正仿宋_GBK" w:hAnsi="方正仿宋_GBK"/>
          <w:kern w:val="2"/>
          <w:lang w:val="zh-CN"/>
        </w:rPr>
        <w:t>人员安全管理</w:t>
      </w:r>
    </w:p>
    <w:p>
      <w:pPr>
        <w:kinsoku/>
        <w:wordWrap/>
        <w:topLinePunct w:val="0"/>
        <w:autoSpaceDE/>
        <w:autoSpaceDN/>
        <w:bidi w:val="0"/>
        <w:spacing w:line="560" w:lineRule="exact"/>
        <w:ind w:firstLine="604"/>
        <w:rPr>
          <w:rFonts w:ascii="方正仿宋_GBK" w:hAnsi="方正仿宋_GBK"/>
          <w:lang w:val="zh-CN"/>
        </w:rPr>
      </w:pPr>
      <w:r>
        <w:rPr>
          <w:rFonts w:hint="eastAsia" w:ascii="方正仿宋_GBK" w:hAnsi="方正仿宋_GBK"/>
          <w:lang w:val="zh-CN"/>
        </w:rPr>
        <w:t>应指定或授权专门的部门或人员负责人员录用，对被录用人员的身份、背景、专业资格和资质等进行审查，对其所有的技术技能进行考核，关键安全管理岗位的人员应尽量从内部人员中选取，并签署岗位的安全协议。</w:t>
      </w:r>
    </w:p>
    <w:p>
      <w:pPr>
        <w:kinsoku/>
        <w:wordWrap/>
        <w:topLinePunct w:val="0"/>
        <w:autoSpaceDE/>
        <w:autoSpaceDN/>
        <w:bidi w:val="0"/>
        <w:spacing w:line="560" w:lineRule="exact"/>
        <w:ind w:firstLine="604"/>
        <w:rPr>
          <w:rFonts w:ascii="方正仿宋_GBK" w:hAnsi="方正仿宋_GBK"/>
          <w:lang w:val="zh-CN"/>
        </w:rPr>
      </w:pPr>
      <w:r>
        <w:rPr>
          <w:rFonts w:hint="eastAsia" w:ascii="方正仿宋_GBK" w:hAnsi="方正仿宋_GBK"/>
          <w:lang w:val="zh-CN"/>
        </w:rPr>
        <w:t>严格规范人员离岗的过程，及时终止离岗人员对信息系统的访问权限，定期组织对各个岗位的工作人员进行安全技能和安全认识的考核，建立人员保密制度，并定期或不定期地对保密制度执行情况进行检查或考核。</w:t>
      </w:r>
    </w:p>
    <w:p>
      <w:pPr>
        <w:pStyle w:val="2"/>
        <w:widowControl w:val="0"/>
        <w:kinsoku/>
        <w:wordWrap/>
        <w:topLinePunct w:val="0"/>
        <w:autoSpaceDE/>
        <w:autoSpaceDN/>
        <w:bidi w:val="0"/>
        <w:spacing w:line="560" w:lineRule="exact"/>
        <w:ind w:left="604" w:leftChars="200" w:firstLine="0" w:firstLineChars="0"/>
        <w:jc w:val="both"/>
        <w:rPr>
          <w:rFonts w:ascii="方正仿宋_GBK" w:hAnsi="方正仿宋_GBK"/>
          <w:kern w:val="2"/>
          <w:lang w:val="zh-CN"/>
        </w:rPr>
      </w:pPr>
      <w:r>
        <w:rPr>
          <w:rFonts w:hint="eastAsia" w:ascii="方正仿宋_GBK" w:hAnsi="方正仿宋_GBK"/>
          <w:kern w:val="2"/>
        </w:rPr>
        <w:t>3.</w:t>
      </w:r>
      <w:r>
        <w:rPr>
          <w:rFonts w:hint="eastAsia" w:ascii="方正仿宋_GBK" w:hAnsi="方正仿宋_GBK"/>
          <w:kern w:val="2"/>
          <w:lang w:val="zh-CN"/>
        </w:rPr>
        <w:t>运维安全审计</w:t>
      </w:r>
    </w:p>
    <w:p>
      <w:pPr>
        <w:kinsoku/>
        <w:wordWrap/>
        <w:topLinePunct w:val="0"/>
        <w:autoSpaceDE/>
        <w:autoSpaceDN/>
        <w:bidi w:val="0"/>
        <w:spacing w:line="560" w:lineRule="exact"/>
        <w:ind w:firstLine="604"/>
        <w:rPr>
          <w:rFonts w:ascii="方正仿宋_GBK" w:hAnsi="方正仿宋_GBK"/>
          <w:lang w:val="zh-CN"/>
        </w:rPr>
      </w:pPr>
      <w:r>
        <w:rPr>
          <w:rFonts w:hint="eastAsia" w:ascii="方正仿宋_GBK" w:hAnsi="方正仿宋_GBK"/>
          <w:lang w:val="zh-CN"/>
        </w:rPr>
        <w:t>运维审计系统主要包括堡垒主机、网管服务器等，此系统能够对操作系统、网络设备、安全设备、数据库等操作过程进行有效的运维操作审计，使运维审计由事件审计提升为操作内容审计，通过系统平台的事前预防、事中控制和事后溯源来全面解决合法用户的不合规操作、操作失误等运维问题，进而提</w:t>
      </w:r>
      <w:r>
        <w:rPr>
          <w:rFonts w:hint="eastAsia" w:ascii="方正仿宋_GBK" w:hAnsi="方正仿宋_GBK"/>
        </w:rPr>
        <w:t>升</w:t>
      </w:r>
      <w:r>
        <w:rPr>
          <w:rFonts w:hint="eastAsia" w:ascii="方正仿宋_GBK" w:hAnsi="方正仿宋_GBK"/>
          <w:lang w:val="zh-CN"/>
        </w:rPr>
        <w:t>IT运维的管理水平。</w:t>
      </w:r>
    </w:p>
    <w:p>
      <w:pPr>
        <w:pStyle w:val="8"/>
        <w:kinsoku/>
        <w:wordWrap/>
        <w:topLinePunct w:val="0"/>
        <w:autoSpaceDE/>
        <w:autoSpaceDN/>
        <w:bidi w:val="0"/>
        <w:spacing w:before="198" w:after="198" w:line="560" w:lineRule="exact"/>
      </w:pPr>
      <w:bookmarkStart w:id="403" w:name="_Toc11227"/>
      <w:bookmarkStart w:id="404" w:name="_Toc26364954"/>
      <w:bookmarkStart w:id="405" w:name="_Toc17824"/>
      <w:bookmarkStart w:id="406" w:name="_Toc33285488"/>
      <w:r>
        <w:rPr>
          <w:rFonts w:hint="eastAsia"/>
        </w:rPr>
        <w:t>安全管理制度</w:t>
      </w:r>
      <w:bookmarkEnd w:id="403"/>
      <w:bookmarkEnd w:id="404"/>
      <w:bookmarkEnd w:id="405"/>
    </w:p>
    <w:p>
      <w:pPr>
        <w:kinsoku/>
        <w:wordWrap/>
        <w:topLinePunct w:val="0"/>
        <w:autoSpaceDE/>
        <w:autoSpaceDN/>
        <w:bidi w:val="0"/>
        <w:spacing w:line="560" w:lineRule="exact"/>
        <w:ind w:firstLine="604"/>
        <w:rPr>
          <w:rFonts w:ascii="方正仿宋_GBK" w:hAnsi="方正仿宋_GBK"/>
          <w:lang w:val="zh-CN"/>
        </w:rPr>
      </w:pPr>
      <w:r>
        <w:rPr>
          <w:rFonts w:hint="eastAsia" w:ascii="方正仿宋_GBK" w:hAnsi="方正仿宋_GBK"/>
          <w:lang w:val="zh-CN"/>
        </w:rPr>
        <w:t>建立一套完善的安全管理制度至关重要，主要内容包括安全保密制度，机房访问制度，环境管理制度，设备管理制度等。安全管理制度主要包括：</w:t>
      </w:r>
    </w:p>
    <w:p>
      <w:pPr>
        <w:pStyle w:val="2"/>
        <w:kinsoku/>
        <w:wordWrap/>
        <w:topLinePunct w:val="0"/>
        <w:autoSpaceDE/>
        <w:autoSpaceDN/>
        <w:bidi w:val="0"/>
        <w:spacing w:line="560" w:lineRule="exact"/>
        <w:ind w:firstLine="604"/>
        <w:rPr>
          <w:rFonts w:ascii="方正仿宋_GBK" w:hAnsi="方正仿宋_GBK"/>
          <w:kern w:val="2"/>
          <w:lang w:val="zh-CN"/>
        </w:rPr>
      </w:pPr>
      <w:r>
        <w:rPr>
          <w:rFonts w:hint="eastAsia" w:ascii="方正仿宋_GBK" w:hAnsi="方正仿宋_GBK"/>
          <w:kern w:val="2"/>
        </w:rPr>
        <w:t>1.</w:t>
      </w:r>
      <w:r>
        <w:rPr>
          <w:rFonts w:hint="eastAsia" w:ascii="方正仿宋_GBK" w:hAnsi="方正仿宋_GBK"/>
          <w:kern w:val="2"/>
          <w:lang w:val="zh-CN"/>
        </w:rPr>
        <w:t>按照信息系统的实现应用流程以及机构的设置，严格划分所有用户的角色，并据此设定不同的权限、确保用户只能访问权限许可范围内的资源；</w:t>
      </w:r>
    </w:p>
    <w:p>
      <w:pPr>
        <w:pStyle w:val="2"/>
        <w:kinsoku/>
        <w:wordWrap/>
        <w:topLinePunct w:val="0"/>
        <w:autoSpaceDE/>
        <w:autoSpaceDN/>
        <w:bidi w:val="0"/>
        <w:spacing w:line="560" w:lineRule="exact"/>
        <w:ind w:firstLine="604"/>
        <w:rPr>
          <w:rFonts w:ascii="方正仿宋_GBK" w:hAnsi="方正仿宋_GBK"/>
          <w:kern w:val="2"/>
          <w:lang w:val="zh-CN"/>
        </w:rPr>
      </w:pPr>
      <w:r>
        <w:rPr>
          <w:rFonts w:hint="eastAsia" w:ascii="方正仿宋_GBK" w:hAnsi="方正仿宋_GBK"/>
          <w:kern w:val="2"/>
        </w:rPr>
        <w:t>2.</w:t>
      </w:r>
      <w:r>
        <w:rPr>
          <w:rFonts w:hint="eastAsia" w:ascii="方正仿宋_GBK" w:hAnsi="方正仿宋_GBK"/>
          <w:kern w:val="2"/>
          <w:lang w:val="zh-CN"/>
        </w:rPr>
        <w:t>制度各项访问控制措施，包括对网络、主机、数据库等的访问。对所有路由器、交换机的密码及配置应用由网络管理员掌握，统一进行配置。对各类主机的管理和对用户以及文件系统的分配、访问权限设置等工作统一由主机管理员执行。对所有数据库的管理和对比、</w:t>
      </w:r>
      <w:r>
        <w:rPr>
          <w:rFonts w:hint="eastAsia" w:ascii="方正仿宋_GBK" w:hAnsi="方正仿宋_GBK"/>
          <w:kern w:val="2"/>
        </w:rPr>
        <w:t>视图</w:t>
      </w:r>
      <w:r>
        <w:rPr>
          <w:rFonts w:hint="eastAsia" w:ascii="方正仿宋_GBK" w:hAnsi="方正仿宋_GBK"/>
          <w:kern w:val="2"/>
          <w:lang w:val="zh-CN"/>
        </w:rPr>
        <w:t>、记录和域的授权工作统一由数据库管理员执行；</w:t>
      </w:r>
    </w:p>
    <w:p>
      <w:pPr>
        <w:pStyle w:val="2"/>
        <w:kinsoku/>
        <w:wordWrap/>
        <w:topLinePunct w:val="0"/>
        <w:autoSpaceDE/>
        <w:autoSpaceDN/>
        <w:bidi w:val="0"/>
        <w:spacing w:line="560" w:lineRule="exact"/>
        <w:ind w:firstLine="604"/>
        <w:rPr>
          <w:rFonts w:ascii="方正仿宋_GBK" w:hAnsi="方正仿宋_GBK"/>
          <w:kern w:val="2"/>
          <w:lang w:val="zh-CN"/>
        </w:rPr>
      </w:pPr>
      <w:r>
        <w:rPr>
          <w:rFonts w:hint="eastAsia" w:ascii="方正仿宋_GBK" w:hAnsi="方正仿宋_GBK"/>
          <w:kern w:val="2"/>
        </w:rPr>
        <w:t>3.</w:t>
      </w:r>
      <w:r>
        <w:rPr>
          <w:rFonts w:hint="eastAsia" w:ascii="方正仿宋_GBK" w:hAnsi="方正仿宋_GBK"/>
          <w:kern w:val="2"/>
          <w:lang w:val="zh-CN"/>
        </w:rPr>
        <w:t>禁止在生产系统中使用未经批准的应用程序，禁止在生产系统上加载无关软件，严禁擅自修改系统的有关参数；</w:t>
      </w:r>
    </w:p>
    <w:p>
      <w:pPr>
        <w:pStyle w:val="2"/>
        <w:widowControl w:val="0"/>
        <w:kinsoku/>
        <w:wordWrap/>
        <w:topLinePunct w:val="0"/>
        <w:autoSpaceDE/>
        <w:autoSpaceDN/>
        <w:bidi w:val="0"/>
        <w:spacing w:line="560" w:lineRule="exact"/>
        <w:ind w:left="604" w:leftChars="200" w:firstLine="0" w:firstLineChars="0"/>
        <w:jc w:val="both"/>
        <w:rPr>
          <w:rFonts w:ascii="方正仿宋_GBK" w:hAnsi="方正仿宋_GBK"/>
          <w:kern w:val="2"/>
          <w:lang w:val="zh-CN"/>
        </w:rPr>
      </w:pPr>
      <w:r>
        <w:rPr>
          <w:rFonts w:hint="eastAsia" w:ascii="方正仿宋_GBK" w:hAnsi="方正仿宋_GBK"/>
          <w:kern w:val="2"/>
        </w:rPr>
        <w:t>4.</w:t>
      </w:r>
      <w:r>
        <w:rPr>
          <w:rFonts w:hint="eastAsia" w:ascii="方正仿宋_GBK" w:hAnsi="方正仿宋_GBK"/>
          <w:kern w:val="2"/>
          <w:lang w:val="zh-CN"/>
        </w:rPr>
        <w:t>用于开发、测试的系统必须与生产系统严格分开；</w:t>
      </w:r>
    </w:p>
    <w:p>
      <w:pPr>
        <w:pStyle w:val="2"/>
        <w:kinsoku/>
        <w:wordWrap/>
        <w:topLinePunct w:val="0"/>
        <w:autoSpaceDE/>
        <w:autoSpaceDN/>
        <w:bidi w:val="0"/>
        <w:spacing w:line="560" w:lineRule="exact"/>
        <w:ind w:firstLine="604"/>
        <w:rPr>
          <w:rFonts w:ascii="方正仿宋_GBK" w:hAnsi="方正仿宋_GBK"/>
          <w:kern w:val="2"/>
          <w:lang w:val="zh-CN"/>
        </w:rPr>
      </w:pPr>
      <w:r>
        <w:rPr>
          <w:rFonts w:hint="eastAsia" w:ascii="方正仿宋_GBK" w:hAnsi="方正仿宋_GBK"/>
          <w:kern w:val="2"/>
        </w:rPr>
        <w:t>5.</w:t>
      </w:r>
      <w:r>
        <w:rPr>
          <w:rFonts w:hint="eastAsia" w:ascii="方正仿宋_GBK" w:hAnsi="方正仿宋_GBK"/>
          <w:kern w:val="2"/>
          <w:lang w:val="zh-CN"/>
        </w:rPr>
        <w:t>监视系统运行记录，及时审查日志文件，认真分析告警信息，及时掌握运行状况，对系统可能发生的故障做好应急方案；</w:t>
      </w:r>
    </w:p>
    <w:p>
      <w:pPr>
        <w:pStyle w:val="2"/>
        <w:kinsoku/>
        <w:wordWrap/>
        <w:topLinePunct w:val="0"/>
        <w:autoSpaceDE/>
        <w:autoSpaceDN/>
        <w:bidi w:val="0"/>
        <w:spacing w:line="560" w:lineRule="exact"/>
        <w:ind w:firstLine="604"/>
        <w:rPr>
          <w:rFonts w:ascii="方正仿宋_GBK" w:hAnsi="方正仿宋_GBK"/>
          <w:kern w:val="2"/>
          <w:lang w:val="zh-CN"/>
        </w:rPr>
      </w:pPr>
      <w:r>
        <w:rPr>
          <w:rFonts w:hint="eastAsia" w:ascii="方正仿宋_GBK" w:hAnsi="方正仿宋_GBK"/>
          <w:kern w:val="2"/>
        </w:rPr>
        <w:t>6.</w:t>
      </w:r>
      <w:r>
        <w:rPr>
          <w:rFonts w:hint="eastAsia" w:ascii="方正仿宋_GBK" w:hAnsi="方正仿宋_GBK"/>
          <w:kern w:val="2"/>
          <w:lang w:val="zh-CN"/>
        </w:rPr>
        <w:t>软件程序的修改或增加功能时，须提出修改理由、方案、实施时间，报上级主管部门批准，程序修改后，须在测试系统进行调试，确认无误经批准后方可投入生产应用；</w:t>
      </w:r>
    </w:p>
    <w:p>
      <w:pPr>
        <w:pStyle w:val="2"/>
        <w:kinsoku/>
        <w:wordWrap/>
        <w:topLinePunct w:val="0"/>
        <w:autoSpaceDE/>
        <w:autoSpaceDN/>
        <w:bidi w:val="0"/>
        <w:spacing w:line="560" w:lineRule="exact"/>
        <w:ind w:firstLine="604"/>
        <w:rPr>
          <w:rFonts w:ascii="方正仿宋_GBK" w:hAnsi="方正仿宋_GBK"/>
          <w:kern w:val="2"/>
          <w:lang w:val="zh-CN"/>
        </w:rPr>
      </w:pPr>
      <w:r>
        <w:rPr>
          <w:rFonts w:hint="eastAsia" w:ascii="方正仿宋_GBK" w:hAnsi="方正仿宋_GBK"/>
          <w:kern w:val="2"/>
        </w:rPr>
        <w:t>7.</w:t>
      </w:r>
      <w:r>
        <w:rPr>
          <w:rFonts w:hint="eastAsia" w:ascii="方正仿宋_GBK" w:hAnsi="方正仿宋_GBK"/>
          <w:kern w:val="2"/>
          <w:lang w:val="zh-CN"/>
        </w:rPr>
        <w:t>软件修改、升级前后的程序版本须存档备查，软件修改、升级时须有应急补救方案。</w:t>
      </w:r>
    </w:p>
    <w:p>
      <w:pPr>
        <w:pStyle w:val="8"/>
        <w:kinsoku/>
        <w:wordWrap/>
        <w:topLinePunct w:val="0"/>
        <w:autoSpaceDE/>
        <w:autoSpaceDN/>
        <w:bidi w:val="0"/>
        <w:spacing w:before="198" w:after="198" w:line="560" w:lineRule="exact"/>
      </w:pPr>
      <w:r>
        <w:rPr>
          <w:rFonts w:hint="eastAsia"/>
        </w:rPr>
        <w:t>安全运营体系</w:t>
      </w:r>
      <w:bookmarkEnd w:id="406"/>
    </w:p>
    <w:p>
      <w:pPr>
        <w:kinsoku/>
        <w:wordWrap/>
        <w:topLinePunct w:val="0"/>
        <w:autoSpaceDE/>
        <w:autoSpaceDN/>
        <w:bidi w:val="0"/>
        <w:spacing w:line="560" w:lineRule="exact"/>
        <w:ind w:firstLine="604"/>
        <w:rPr>
          <w:rFonts w:ascii="方正仿宋_GBK" w:hAnsi="方正仿宋_GBK"/>
          <w:lang w:val="zh-CN"/>
        </w:rPr>
      </w:pPr>
      <w:r>
        <w:rPr>
          <w:rFonts w:hint="eastAsia" w:ascii="方正仿宋_GBK" w:hAnsi="方正仿宋_GBK"/>
        </w:rPr>
        <w:t>按照国家有关标准规定，确定信息安全事件的等级。结合信息系统安全保护等级，制定信息安全事件分级应急处置预案，明确应急处置策略，落实应急指挥部门、执行部门和技术支撑部门，建立应急协调机制。落实安全事件报告制度，第三级以上信息系统发生较大、重大、特别重大安全事件时，运营使用单位按照相应预案开展应急处置，并及时向受理备案的公安机关报告。组织应急技术支撑力量和专家队伍，按照应急预案定期组织开展应急演练。</w:t>
      </w:r>
    </w:p>
    <w:p>
      <w:pPr>
        <w:pStyle w:val="7"/>
        <w:kinsoku/>
        <w:wordWrap/>
        <w:topLinePunct w:val="0"/>
        <w:autoSpaceDE/>
        <w:autoSpaceDN/>
        <w:bidi w:val="0"/>
        <w:spacing w:before="198" w:after="198" w:line="560" w:lineRule="exact"/>
        <w:rPr>
          <w:rFonts w:hint="default"/>
        </w:rPr>
      </w:pPr>
      <w:bookmarkStart w:id="407" w:name="_Toc24347"/>
      <w:bookmarkStart w:id="408" w:name="_Toc1835"/>
      <w:bookmarkStart w:id="409" w:name="_Toc74755424"/>
      <w:bookmarkStart w:id="410" w:name="_Toc42508568"/>
      <w:bookmarkStart w:id="411" w:name="_Toc2398"/>
      <w:bookmarkStart w:id="412" w:name="_Toc513097204"/>
      <w:bookmarkStart w:id="413" w:name="_Toc23583"/>
      <w:bookmarkStart w:id="414" w:name="_Toc12834"/>
      <w:bookmarkStart w:id="415" w:name="_Toc27007"/>
      <w:r>
        <w:t>平台安全</w:t>
      </w:r>
      <w:bookmarkEnd w:id="407"/>
      <w:bookmarkEnd w:id="408"/>
      <w:r>
        <w:t>设计</w:t>
      </w:r>
    </w:p>
    <w:p>
      <w:pPr>
        <w:pStyle w:val="8"/>
        <w:kinsoku/>
        <w:wordWrap/>
        <w:topLinePunct w:val="0"/>
        <w:autoSpaceDE/>
        <w:autoSpaceDN/>
        <w:bidi w:val="0"/>
        <w:spacing w:before="198" w:after="198" w:line="560" w:lineRule="exact"/>
      </w:pPr>
      <w:r>
        <w:rPr>
          <w:rFonts w:hint="eastAsia"/>
        </w:rPr>
        <w:t>访问控制</w:t>
      </w:r>
    </w:p>
    <w:p>
      <w:pPr>
        <w:pStyle w:val="2"/>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1</w:t>
      </w:r>
      <w:r>
        <w:rPr>
          <w:rFonts w:ascii="方正仿宋_GBK" w:hAnsi="方正仿宋_GBK"/>
        </w:rPr>
        <w:t>.</w:t>
      </w:r>
      <w:r>
        <w:rPr>
          <w:rFonts w:hint="eastAsia" w:ascii="方正仿宋_GBK" w:hAnsi="方正仿宋_GBK"/>
        </w:rPr>
        <w:t>用户访问控制</w:t>
      </w:r>
    </w:p>
    <w:p>
      <w:pPr>
        <w:pStyle w:val="2"/>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提供有账户密码的更换周期控制；密码尝试失败的账户冻结控制；密码强弱度的校验等措施，有效保证了用户密码的安全使用。</w:t>
      </w:r>
    </w:p>
    <w:p>
      <w:pPr>
        <w:pStyle w:val="2"/>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2</w:t>
      </w:r>
      <w:r>
        <w:rPr>
          <w:rFonts w:ascii="方正仿宋_GBK" w:hAnsi="方正仿宋_GBK"/>
        </w:rPr>
        <w:t>.</w:t>
      </w:r>
      <w:r>
        <w:rPr>
          <w:rFonts w:hint="eastAsia" w:ascii="方正仿宋_GBK" w:hAnsi="方正仿宋_GBK"/>
        </w:rPr>
        <w:t>数据权限控制</w:t>
      </w:r>
    </w:p>
    <w:p>
      <w:pPr>
        <w:pStyle w:val="2"/>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拦截器会拦截每一个数据请求，根据与数据授权信息比对，特殊的URL加密技术确定使用者身份与此数据访问权限吻合，才允许访问。</w:t>
      </w:r>
    </w:p>
    <w:p>
      <w:pPr>
        <w:pStyle w:val="2"/>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3</w:t>
      </w:r>
      <w:r>
        <w:rPr>
          <w:rFonts w:ascii="方正仿宋_GBK" w:hAnsi="方正仿宋_GBK"/>
        </w:rPr>
        <w:t>.</w:t>
      </w:r>
      <w:r>
        <w:rPr>
          <w:rFonts w:hint="eastAsia" w:ascii="方正仿宋_GBK" w:hAnsi="方正仿宋_GBK"/>
        </w:rPr>
        <w:t>基于RBAC的权限控制体系</w:t>
      </w:r>
    </w:p>
    <w:p>
      <w:pPr>
        <w:pStyle w:val="2"/>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使用RBAC（基于角色的访问控制）这一安全的权限管理机制。在RBAC中，权限与角色相关联，用户通过成为适当角色而拥有角色赋予的权限，简化了系统的权限管理。</w:t>
      </w:r>
    </w:p>
    <w:p>
      <w:pPr>
        <w:pStyle w:val="2"/>
        <w:kinsoku/>
        <w:wordWrap/>
        <w:topLinePunct w:val="0"/>
        <w:autoSpaceDE/>
        <w:autoSpaceDN/>
        <w:bidi w:val="0"/>
        <w:spacing w:line="560" w:lineRule="exact"/>
        <w:ind w:firstLine="604"/>
        <w:rPr>
          <w:rFonts w:ascii="方正仿宋_GBK" w:hAnsi="方正仿宋_GBK"/>
        </w:rPr>
      </w:pPr>
      <w:r>
        <w:rPr>
          <w:rFonts w:ascii="方正仿宋_GBK" w:hAnsi="方正仿宋_GBK"/>
        </w:rPr>
        <w:t>4.</w:t>
      </w:r>
      <w:r>
        <w:rPr>
          <w:rFonts w:hint="eastAsia" w:ascii="方正仿宋_GBK" w:hAnsi="方正仿宋_GBK"/>
        </w:rPr>
        <w:t>IP控制</w:t>
      </w:r>
    </w:p>
    <w:p>
      <w:pPr>
        <w:pStyle w:val="2"/>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通过配置，可以达到限制IP，控制到某个IP。某个时间段登录协同办公管理系统。</w:t>
      </w:r>
    </w:p>
    <w:p>
      <w:pPr>
        <w:pStyle w:val="8"/>
        <w:kinsoku/>
        <w:wordWrap/>
        <w:topLinePunct w:val="0"/>
        <w:autoSpaceDE/>
        <w:autoSpaceDN/>
        <w:bidi w:val="0"/>
        <w:spacing w:before="198" w:after="198" w:line="560" w:lineRule="exact"/>
      </w:pPr>
      <w:r>
        <w:rPr>
          <w:rFonts w:hint="eastAsia"/>
        </w:rPr>
        <w:t>三员分离安全控制</w:t>
      </w:r>
    </w:p>
    <w:p>
      <w:pPr>
        <w:pStyle w:val="2"/>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为避免单一系统管理员的权力过于集中，引发风险，平台设立了三个管理员：系统管理员、安全管理员、审计管理员。系统管理员主要负责系统的日常运行维护；安全管理员主要负责账户管理、信息基设置和分级授权；审计管理员主要对系统管理员、安全保密管理员和普通用户的操作行为进行审计跟踪分析和监督检查。</w:t>
      </w:r>
    </w:p>
    <w:p>
      <w:pPr>
        <w:pStyle w:val="8"/>
        <w:kinsoku/>
        <w:wordWrap/>
        <w:topLinePunct w:val="0"/>
        <w:autoSpaceDE/>
        <w:autoSpaceDN/>
        <w:bidi w:val="0"/>
        <w:spacing w:before="198" w:after="198" w:line="560" w:lineRule="exact"/>
      </w:pPr>
      <w:r>
        <w:rPr>
          <w:rFonts w:hint="eastAsia"/>
        </w:rPr>
        <w:t>数据的保密性（加密）</w:t>
      </w:r>
    </w:p>
    <w:p>
      <w:pPr>
        <w:pStyle w:val="2"/>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1</w:t>
      </w:r>
      <w:r>
        <w:rPr>
          <w:rFonts w:ascii="方正仿宋_GBK" w:hAnsi="方正仿宋_GBK"/>
        </w:rPr>
        <w:t>.</w:t>
      </w:r>
      <w:r>
        <w:rPr>
          <w:rFonts w:hint="eastAsia" w:ascii="方正仿宋_GBK" w:hAnsi="方正仿宋_GBK"/>
        </w:rPr>
        <w:t>文件加密</w:t>
      </w:r>
    </w:p>
    <w:p>
      <w:pPr>
        <w:pStyle w:val="2"/>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整个系统的文件支持三级加密策略：不加密；中度加密；深度加密。这些加密方式由管理员直接配置，满足不同用户的需要。</w:t>
      </w:r>
    </w:p>
    <w:p>
      <w:pPr>
        <w:pStyle w:val="2"/>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2</w:t>
      </w:r>
      <w:r>
        <w:rPr>
          <w:rFonts w:ascii="方正仿宋_GBK" w:hAnsi="方正仿宋_GBK"/>
        </w:rPr>
        <w:t>.</w:t>
      </w:r>
      <w:r>
        <w:rPr>
          <w:rFonts w:hint="eastAsia" w:ascii="方正仿宋_GBK" w:hAnsi="方正仿宋_GBK"/>
        </w:rPr>
        <w:t>敏感信息加密存储</w:t>
      </w:r>
    </w:p>
    <w:p>
      <w:pPr>
        <w:pStyle w:val="2"/>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用户密码、电话号码、工资信息、关联系统参数、身份证等存储时进行了不可逆的加密，保证了数据不会外泄，管理员也无法获取这些信息。</w:t>
      </w:r>
    </w:p>
    <w:p>
      <w:pPr>
        <w:pStyle w:val="8"/>
        <w:kinsoku/>
        <w:wordWrap/>
        <w:topLinePunct w:val="0"/>
        <w:autoSpaceDE/>
        <w:autoSpaceDN/>
        <w:bidi w:val="0"/>
        <w:spacing w:before="198" w:after="198" w:line="560" w:lineRule="exact"/>
      </w:pPr>
      <w:r>
        <w:rPr>
          <w:rFonts w:hint="eastAsia"/>
        </w:rPr>
        <w:t>数据的完整性</w:t>
      </w:r>
    </w:p>
    <w:p>
      <w:pPr>
        <w:pStyle w:val="2"/>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1</w:t>
      </w:r>
      <w:r>
        <w:rPr>
          <w:rFonts w:ascii="方正仿宋_GBK" w:hAnsi="方正仿宋_GBK"/>
        </w:rPr>
        <w:t>.</w:t>
      </w:r>
      <w:r>
        <w:rPr>
          <w:rFonts w:hint="eastAsia" w:ascii="方正仿宋_GBK" w:hAnsi="方正仿宋_GBK"/>
        </w:rPr>
        <w:t>通道访问安全</w:t>
      </w:r>
    </w:p>
    <w:p>
      <w:pPr>
        <w:pStyle w:val="2"/>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实现HTTPS通道访问加密和防DOS攻击，记录访问请求日志，通过HTTPS保证传输信息加密安全性。同时可以防止蜘蛛爬虫的信息采样。</w:t>
      </w:r>
    </w:p>
    <w:p>
      <w:pPr>
        <w:pStyle w:val="2"/>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2</w:t>
      </w:r>
      <w:r>
        <w:rPr>
          <w:rFonts w:ascii="方正仿宋_GBK" w:hAnsi="方正仿宋_GBK"/>
        </w:rPr>
        <w:t>.</w:t>
      </w:r>
      <w:r>
        <w:rPr>
          <w:rFonts w:hint="eastAsia" w:ascii="方正仿宋_GBK" w:hAnsi="方正仿宋_GBK"/>
        </w:rPr>
        <w:t>在附件上传和下载时提供拦截机制</w:t>
      </w:r>
    </w:p>
    <w:p>
      <w:pPr>
        <w:pStyle w:val="2"/>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附件上传时结合杀毒软件厂商提供的接口，对文件进行查毒和杀毒，保障服务器安全。</w:t>
      </w:r>
    </w:p>
    <w:p>
      <w:pPr>
        <w:pStyle w:val="8"/>
        <w:kinsoku/>
        <w:wordWrap/>
        <w:topLinePunct w:val="0"/>
        <w:autoSpaceDE/>
        <w:autoSpaceDN/>
        <w:bidi w:val="0"/>
        <w:spacing w:before="198" w:after="198" w:line="560" w:lineRule="exact"/>
      </w:pPr>
      <w:r>
        <w:rPr>
          <w:rFonts w:hint="eastAsia"/>
        </w:rPr>
        <w:t>不可否认性（抗抵赖性）</w:t>
      </w:r>
    </w:p>
    <w:p>
      <w:pPr>
        <w:pStyle w:val="2"/>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1</w:t>
      </w:r>
      <w:r>
        <w:rPr>
          <w:rFonts w:ascii="方正仿宋_GBK" w:hAnsi="方正仿宋_GBK"/>
        </w:rPr>
        <w:t>.</w:t>
      </w:r>
      <w:r>
        <w:rPr>
          <w:rFonts w:hint="eastAsia" w:ascii="方正仿宋_GBK" w:hAnsi="方正仿宋_GBK"/>
        </w:rPr>
        <w:t>数字签名</w:t>
      </w:r>
    </w:p>
    <w:p>
      <w:pPr>
        <w:pStyle w:val="2"/>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支持电子签章与文档捆绑，通过密码验证、签名验证、数字证书验证确保文档防伪造、防篡改、防抵赖，安全可靠；并实现对签章人的身份识别，确保其真实意愿的体现，防止事后抵赖，有效地杜绝了安全隐患。</w:t>
      </w:r>
    </w:p>
    <w:p>
      <w:pPr>
        <w:pStyle w:val="2"/>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2</w:t>
      </w:r>
      <w:r>
        <w:rPr>
          <w:rFonts w:ascii="方正仿宋_GBK" w:hAnsi="方正仿宋_GBK"/>
        </w:rPr>
        <w:t>.</w:t>
      </w:r>
      <w:r>
        <w:rPr>
          <w:rFonts w:hint="eastAsia" w:ascii="方正仿宋_GBK" w:hAnsi="方正仿宋_GBK"/>
        </w:rPr>
        <w:t>日志记录</w:t>
      </w:r>
    </w:p>
    <w:p>
      <w:pPr>
        <w:pStyle w:val="2"/>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平台提供多种系统日志、业务日志、操作日志，记录重要操作与特殊角色操作。</w:t>
      </w:r>
    </w:p>
    <w:p>
      <w:pPr>
        <w:pStyle w:val="6"/>
        <w:kinsoku/>
        <w:wordWrap/>
        <w:topLinePunct w:val="0"/>
        <w:autoSpaceDE/>
        <w:autoSpaceDN/>
        <w:bidi w:val="0"/>
        <w:spacing w:before="198" w:after="198" w:line="560" w:lineRule="exact"/>
      </w:pPr>
      <w:bookmarkStart w:id="416" w:name="_Toc9270"/>
      <w:bookmarkStart w:id="417" w:name="_Toc28234"/>
      <w:bookmarkStart w:id="418" w:name="_Toc13732"/>
      <w:r>
        <w:rPr>
          <w:rFonts w:hint="eastAsia"/>
        </w:rPr>
        <w:t>密码应用及管理设计</w:t>
      </w:r>
      <w:bookmarkEnd w:id="409"/>
      <w:bookmarkEnd w:id="410"/>
      <w:bookmarkEnd w:id="416"/>
      <w:bookmarkEnd w:id="417"/>
      <w:bookmarkEnd w:id="418"/>
    </w:p>
    <w:p>
      <w:pPr>
        <w:pStyle w:val="7"/>
        <w:kinsoku/>
        <w:wordWrap/>
        <w:topLinePunct w:val="0"/>
        <w:autoSpaceDE/>
        <w:autoSpaceDN/>
        <w:bidi w:val="0"/>
        <w:spacing w:before="198" w:after="198" w:line="560" w:lineRule="exact"/>
        <w:rPr>
          <w:rFonts w:hint="default"/>
        </w:rPr>
      </w:pPr>
      <w:bookmarkStart w:id="419" w:name="_Toc74755425"/>
      <w:bookmarkStart w:id="420" w:name="_Toc4041"/>
      <w:bookmarkStart w:id="421" w:name="_Toc42508569"/>
      <w:bookmarkStart w:id="422" w:name="_Toc28161"/>
      <w:r>
        <w:t>密码应用</w:t>
      </w:r>
      <w:bookmarkEnd w:id="419"/>
      <w:bookmarkEnd w:id="420"/>
      <w:bookmarkEnd w:id="421"/>
      <w:bookmarkEnd w:id="422"/>
    </w:p>
    <w:p>
      <w:pPr>
        <w:pStyle w:val="2"/>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依据《信息系统密码应用基本要求》（GB/T 39786-2021）标准，通过整体密码服务安全认证体系的建设，本次重庆农投集团数智化管控系统需支持采用SM2、SM3、SM4密钥算法实现SSL技术、签名验签技术来保证数据传输、存储的保密性、完整性、日志存储完整性。</w:t>
      </w:r>
    </w:p>
    <w:p>
      <w:pPr>
        <w:pStyle w:val="8"/>
        <w:kinsoku/>
        <w:wordWrap/>
        <w:topLinePunct w:val="0"/>
        <w:autoSpaceDE/>
        <w:autoSpaceDN/>
        <w:bidi w:val="0"/>
        <w:spacing w:before="198" w:after="198" w:line="560" w:lineRule="exact"/>
      </w:pPr>
      <w:r>
        <w:rPr>
          <w:rFonts w:hint="eastAsia"/>
        </w:rPr>
        <w:t>密码功能</w:t>
      </w:r>
    </w:p>
    <w:p>
      <w:pPr>
        <w:pStyle w:val="2"/>
        <w:tabs>
          <w:tab w:val="left" w:pos="0"/>
        </w:tabs>
        <w:kinsoku/>
        <w:wordWrap/>
        <w:topLinePunct w:val="0"/>
        <w:autoSpaceDE/>
        <w:autoSpaceDN/>
        <w:bidi w:val="0"/>
        <w:spacing w:line="560" w:lineRule="exact"/>
        <w:ind w:left="604" w:leftChars="200" w:firstLine="0" w:firstLineChars="0"/>
        <w:rPr>
          <w:rFonts w:ascii="方正仿宋_GBK" w:hAnsi="方正仿宋_GBK"/>
          <w:lang w:bidi="mn-Mong-CN"/>
        </w:rPr>
      </w:pPr>
      <w:r>
        <w:rPr>
          <w:rFonts w:hint="eastAsia" w:ascii="方正仿宋_GBK" w:hAnsi="方正仿宋_GBK"/>
          <w:lang w:bidi="mn-Mong-CN"/>
        </w:rPr>
        <w:t>1.机密性</w:t>
      </w:r>
    </w:p>
    <w:p>
      <w:pPr>
        <w:pStyle w:val="2"/>
        <w:kinsoku/>
        <w:wordWrap/>
        <w:topLinePunct w:val="0"/>
        <w:autoSpaceDE/>
        <w:autoSpaceDN/>
        <w:bidi w:val="0"/>
        <w:spacing w:line="560" w:lineRule="exact"/>
        <w:ind w:firstLine="604"/>
        <w:rPr>
          <w:rFonts w:ascii="方正仿宋_GBK" w:hAnsi="方正仿宋_GBK"/>
          <w:lang w:bidi="mn-Mong-CN"/>
        </w:rPr>
      </w:pPr>
      <w:r>
        <w:rPr>
          <w:rFonts w:hint="eastAsia" w:ascii="方正仿宋_GBK" w:hAnsi="方正仿宋_GBK"/>
          <w:lang w:bidi="mn-Mong-CN"/>
        </w:rPr>
        <w:t>使用密码加密功能实现机密性，保护信息系统中传输的重要数据、敏感信息数据或者整个报文、存储的重要数据、身份鉴别信息以及密匙数据等。</w:t>
      </w:r>
    </w:p>
    <w:p>
      <w:pPr>
        <w:pStyle w:val="2"/>
        <w:tabs>
          <w:tab w:val="left" w:pos="0"/>
        </w:tabs>
        <w:kinsoku/>
        <w:wordWrap/>
        <w:topLinePunct w:val="0"/>
        <w:autoSpaceDE/>
        <w:autoSpaceDN/>
        <w:bidi w:val="0"/>
        <w:spacing w:line="560" w:lineRule="exact"/>
        <w:ind w:left="604" w:leftChars="200" w:firstLine="0" w:firstLineChars="0"/>
        <w:rPr>
          <w:rFonts w:ascii="方正仿宋_GBK" w:hAnsi="方正仿宋_GBK"/>
          <w:lang w:bidi="mn-Mong-CN"/>
        </w:rPr>
      </w:pPr>
      <w:r>
        <w:rPr>
          <w:rFonts w:hint="eastAsia" w:ascii="方正仿宋_GBK" w:hAnsi="方正仿宋_GBK"/>
          <w:lang w:bidi="mn-Mong-CN"/>
        </w:rPr>
        <w:t>2.完整性</w:t>
      </w:r>
    </w:p>
    <w:p>
      <w:pPr>
        <w:pStyle w:val="2"/>
        <w:kinsoku/>
        <w:wordWrap/>
        <w:topLinePunct w:val="0"/>
        <w:autoSpaceDE/>
        <w:autoSpaceDN/>
        <w:bidi w:val="0"/>
        <w:spacing w:line="560" w:lineRule="exact"/>
        <w:ind w:firstLineChars="0"/>
        <w:rPr>
          <w:rFonts w:ascii="方正仿宋_GBK" w:hAnsi="方正仿宋_GBK"/>
          <w:lang w:bidi="mn-Mong-CN"/>
        </w:rPr>
      </w:pPr>
      <w:r>
        <w:rPr>
          <w:rFonts w:hint="eastAsia" w:ascii="方正仿宋_GBK" w:hAnsi="方正仿宋_GBK"/>
          <w:lang w:bidi="mn-Mong-CN"/>
        </w:rPr>
        <w:t>使用消息鉴别码或数字签名实现完整性，保护信息系统中传输的重要数据、敏感信息数据或整个报文，存储的重要数据、文件和敏感信息数据，身份鉴别数据、密匙数据、日志记录、访问控制信息、重要信息资源敏感标记、重要程序等。</w:t>
      </w:r>
    </w:p>
    <w:p>
      <w:pPr>
        <w:pStyle w:val="2"/>
        <w:tabs>
          <w:tab w:val="left" w:pos="0"/>
        </w:tabs>
        <w:kinsoku/>
        <w:wordWrap/>
        <w:topLinePunct w:val="0"/>
        <w:autoSpaceDE/>
        <w:autoSpaceDN/>
        <w:bidi w:val="0"/>
        <w:spacing w:line="560" w:lineRule="exact"/>
        <w:ind w:left="604" w:leftChars="200" w:firstLine="0" w:firstLineChars="0"/>
        <w:rPr>
          <w:rFonts w:ascii="方正仿宋_GBK" w:hAnsi="方正仿宋_GBK"/>
          <w:lang w:bidi="mn-Mong-CN"/>
        </w:rPr>
      </w:pPr>
      <w:r>
        <w:rPr>
          <w:rFonts w:hint="eastAsia" w:ascii="方正仿宋_GBK" w:hAnsi="方正仿宋_GBK"/>
          <w:lang w:bidi="mn-Mong-CN"/>
        </w:rPr>
        <w:t>3.真实性</w:t>
      </w:r>
    </w:p>
    <w:p>
      <w:pPr>
        <w:pStyle w:val="2"/>
        <w:kinsoku/>
        <w:wordWrap/>
        <w:topLinePunct w:val="0"/>
        <w:autoSpaceDE/>
        <w:autoSpaceDN/>
        <w:bidi w:val="0"/>
        <w:spacing w:line="560" w:lineRule="exact"/>
        <w:ind w:firstLineChars="0"/>
        <w:rPr>
          <w:rFonts w:ascii="方正仿宋_GBK" w:hAnsi="方正仿宋_GBK"/>
          <w:lang w:bidi="mn-Mong-CN"/>
        </w:rPr>
      </w:pPr>
      <w:r>
        <w:rPr>
          <w:rFonts w:hint="eastAsia" w:ascii="方正仿宋_GBK" w:hAnsi="方正仿宋_GBK"/>
          <w:lang w:bidi="mn-Mong-CN"/>
        </w:rPr>
        <w:t>使用对称加密、动态口令、数字签名等手段实现真实性，主要体现信息系统中通信双方的身份鉴别、应用系统的身份鉴别、登录操作系统或数据库系统的用户身份鉴别等应用场景。</w:t>
      </w:r>
    </w:p>
    <w:p>
      <w:pPr>
        <w:pStyle w:val="2"/>
        <w:tabs>
          <w:tab w:val="left" w:pos="0"/>
        </w:tabs>
        <w:kinsoku/>
        <w:wordWrap/>
        <w:topLinePunct w:val="0"/>
        <w:autoSpaceDE/>
        <w:autoSpaceDN/>
        <w:bidi w:val="0"/>
        <w:spacing w:line="560" w:lineRule="exact"/>
        <w:ind w:left="604" w:leftChars="200" w:firstLine="0" w:firstLineChars="0"/>
        <w:rPr>
          <w:rFonts w:ascii="方正仿宋_GBK" w:hAnsi="方正仿宋_GBK"/>
          <w:lang w:bidi="mn-Mong-CN"/>
        </w:rPr>
      </w:pPr>
      <w:r>
        <w:rPr>
          <w:rFonts w:hint="eastAsia" w:ascii="方正仿宋_GBK" w:hAnsi="方正仿宋_GBK"/>
          <w:lang w:bidi="mn-Mong-CN"/>
        </w:rPr>
        <w:t>4.不可否认性</w:t>
      </w:r>
    </w:p>
    <w:p>
      <w:pPr>
        <w:pStyle w:val="2"/>
        <w:kinsoku/>
        <w:wordWrap/>
        <w:topLinePunct w:val="0"/>
        <w:autoSpaceDE/>
        <w:autoSpaceDN/>
        <w:bidi w:val="0"/>
        <w:spacing w:line="560" w:lineRule="exact"/>
        <w:ind w:firstLineChars="0"/>
        <w:rPr>
          <w:rFonts w:ascii="方正仿宋_GBK" w:hAnsi="方正仿宋_GBK"/>
          <w:lang w:bidi="mn-Mong-CN"/>
        </w:rPr>
      </w:pPr>
      <w:r>
        <w:rPr>
          <w:rFonts w:hint="eastAsia" w:ascii="方正仿宋_GBK" w:hAnsi="方正仿宋_GBK"/>
          <w:lang w:bidi="mn-Mong-CN"/>
        </w:rPr>
        <w:t>使用数字签名等密码技术实现实体行为的不可否认性，针对在信息系统中所有需要无法否认的行为，包括发送、接收、审批、创建、修改、删除、添加、配置等操作。</w:t>
      </w:r>
    </w:p>
    <w:p>
      <w:pPr>
        <w:pStyle w:val="8"/>
        <w:kinsoku/>
        <w:wordWrap/>
        <w:topLinePunct w:val="0"/>
        <w:autoSpaceDE/>
        <w:autoSpaceDN/>
        <w:bidi w:val="0"/>
        <w:spacing w:before="198" w:after="198" w:line="560" w:lineRule="exact"/>
      </w:pPr>
      <w:r>
        <w:rPr>
          <w:rFonts w:hint="eastAsia"/>
        </w:rPr>
        <w:t>密码应用</w:t>
      </w:r>
    </w:p>
    <w:p>
      <w:pPr>
        <w:pStyle w:val="2"/>
        <w:tabs>
          <w:tab w:val="left" w:pos="0"/>
        </w:tabs>
        <w:kinsoku/>
        <w:wordWrap/>
        <w:topLinePunct w:val="0"/>
        <w:autoSpaceDE/>
        <w:autoSpaceDN/>
        <w:bidi w:val="0"/>
        <w:spacing w:line="560" w:lineRule="exact"/>
        <w:ind w:left="604" w:leftChars="200" w:firstLine="0" w:firstLineChars="0"/>
        <w:rPr>
          <w:rFonts w:ascii="方正仿宋_GBK" w:hAnsi="方正仿宋_GBK"/>
          <w:lang w:bidi="mn-Mong-CN"/>
        </w:rPr>
      </w:pPr>
      <w:r>
        <w:rPr>
          <w:rFonts w:hint="eastAsia" w:ascii="方正仿宋_GBK" w:hAnsi="方正仿宋_GBK"/>
          <w:lang w:bidi="mn-Mong-CN"/>
        </w:rPr>
        <w:t>1.物理和环境安全</w:t>
      </w:r>
    </w:p>
    <w:p>
      <w:pPr>
        <w:pStyle w:val="2"/>
        <w:kinsoku/>
        <w:wordWrap/>
        <w:topLinePunct w:val="0"/>
        <w:autoSpaceDE/>
        <w:autoSpaceDN/>
        <w:bidi w:val="0"/>
        <w:spacing w:line="560" w:lineRule="exact"/>
        <w:ind w:firstLineChars="0"/>
        <w:rPr>
          <w:rFonts w:ascii="方正仿宋_GBK" w:hAnsi="方正仿宋_GBK"/>
          <w:lang w:bidi="mn-Mong-CN"/>
        </w:rPr>
      </w:pPr>
      <w:r>
        <w:rPr>
          <w:rFonts w:hint="eastAsia" w:ascii="方正仿宋_GBK" w:hAnsi="方正仿宋_GBK"/>
          <w:lang w:bidi="mn-Mong-CN"/>
        </w:rPr>
        <w:t>使用密码技术的真实性功能保护物理访问控制身份鉴别信息，保证重要区域进入人员身份的真实性；使用密码技术的完整性功能来保证电子门禁系统进出记录的完整性；使用密码技术的完整性功能来保证视频监控音像记录的完整性。</w:t>
      </w:r>
    </w:p>
    <w:p>
      <w:pPr>
        <w:pStyle w:val="2"/>
        <w:kinsoku/>
        <w:wordWrap/>
        <w:topLinePunct w:val="0"/>
        <w:autoSpaceDE/>
        <w:autoSpaceDN/>
        <w:bidi w:val="0"/>
        <w:spacing w:line="560" w:lineRule="exact"/>
        <w:ind w:firstLineChars="0"/>
        <w:rPr>
          <w:rFonts w:ascii="方正仿宋_GBK" w:hAnsi="方正仿宋_GBK"/>
          <w:lang w:bidi="mn-Mong-CN"/>
        </w:rPr>
      </w:pPr>
      <w:r>
        <w:rPr>
          <w:rFonts w:hint="eastAsia" w:ascii="方正仿宋_GBK" w:hAnsi="方正仿宋_GBK"/>
          <w:lang w:bidi="mn-Mong-CN"/>
        </w:rPr>
        <w:t>云服务单位应保证物理和环境安全符合密码应用相关要求。</w:t>
      </w:r>
    </w:p>
    <w:p>
      <w:pPr>
        <w:pStyle w:val="2"/>
        <w:tabs>
          <w:tab w:val="left" w:pos="0"/>
        </w:tabs>
        <w:kinsoku/>
        <w:wordWrap/>
        <w:topLinePunct w:val="0"/>
        <w:autoSpaceDE/>
        <w:autoSpaceDN/>
        <w:bidi w:val="0"/>
        <w:spacing w:line="560" w:lineRule="exact"/>
        <w:ind w:left="604" w:leftChars="200" w:firstLine="0" w:firstLineChars="0"/>
        <w:rPr>
          <w:rFonts w:ascii="方正仿宋_GBK" w:hAnsi="方正仿宋_GBK"/>
          <w:lang w:bidi="mn-Mong-CN"/>
        </w:rPr>
      </w:pPr>
      <w:r>
        <w:rPr>
          <w:rFonts w:hint="eastAsia" w:ascii="方正仿宋_GBK" w:hAnsi="方正仿宋_GBK"/>
          <w:lang w:bidi="mn-Mong-CN"/>
        </w:rPr>
        <w:t>2.网络和通信安全</w:t>
      </w:r>
    </w:p>
    <w:p>
      <w:pPr>
        <w:pStyle w:val="2"/>
        <w:kinsoku/>
        <w:wordWrap/>
        <w:topLinePunct w:val="0"/>
        <w:autoSpaceDE/>
        <w:autoSpaceDN/>
        <w:bidi w:val="0"/>
        <w:spacing w:line="560" w:lineRule="exact"/>
        <w:ind w:firstLineChars="0"/>
        <w:rPr>
          <w:rFonts w:ascii="方正仿宋_GBK" w:hAnsi="方正仿宋_GBK"/>
          <w:lang w:bidi="mn-Mong-CN"/>
        </w:rPr>
      </w:pPr>
      <w:r>
        <w:rPr>
          <w:rFonts w:hint="eastAsia" w:ascii="方正仿宋_GBK" w:hAnsi="方正仿宋_GBK"/>
          <w:lang w:bidi="mn-Mong-CN"/>
        </w:rPr>
        <w:t>在通信前基于密码技术对通信双方进行身份认证，使用密码技术的机密性和真实性功能来实现防截获、放假冒和防重用，保证传输过程中鉴别信息的机密性和网络设备实体身份的真实性；使用密码技术的完整性功能保证网络边界和系统资源访问控制信息的完整性；使用密码技术保证通信过程中数据的完整性；采用密码技术保证通信过程中敏感信息数据字段或整个报文的机密性；采用密码技术建立一条安全的信息传输通道，对网络中的安全设备或安全组件进行集中管理。</w:t>
      </w:r>
    </w:p>
    <w:p>
      <w:pPr>
        <w:pStyle w:val="2"/>
        <w:kinsoku/>
        <w:wordWrap/>
        <w:topLinePunct w:val="0"/>
        <w:autoSpaceDE/>
        <w:autoSpaceDN/>
        <w:bidi w:val="0"/>
        <w:spacing w:line="560" w:lineRule="exact"/>
        <w:ind w:firstLineChars="0"/>
        <w:rPr>
          <w:rFonts w:ascii="方正仿宋_GBK" w:hAnsi="方正仿宋_GBK"/>
          <w:lang w:bidi="mn-Mong-CN"/>
        </w:rPr>
      </w:pPr>
      <w:r>
        <w:rPr>
          <w:rFonts w:hint="eastAsia" w:ascii="方正仿宋_GBK" w:hAnsi="方正仿宋_GBK"/>
          <w:lang w:bidi="mn-Mong-CN"/>
        </w:rPr>
        <w:t>相关单位需通过密码技术保证网络和通信安全。</w:t>
      </w:r>
    </w:p>
    <w:p>
      <w:pPr>
        <w:pStyle w:val="2"/>
        <w:tabs>
          <w:tab w:val="left" w:pos="0"/>
        </w:tabs>
        <w:kinsoku/>
        <w:wordWrap/>
        <w:topLinePunct w:val="0"/>
        <w:autoSpaceDE/>
        <w:autoSpaceDN/>
        <w:bidi w:val="0"/>
        <w:spacing w:line="560" w:lineRule="exact"/>
        <w:ind w:left="604" w:leftChars="200" w:firstLine="0" w:firstLineChars="0"/>
        <w:rPr>
          <w:rFonts w:ascii="方正仿宋_GBK" w:hAnsi="方正仿宋_GBK"/>
          <w:lang w:bidi="mn-Mong-CN"/>
        </w:rPr>
      </w:pPr>
      <w:r>
        <w:rPr>
          <w:rFonts w:hint="eastAsia" w:ascii="方正仿宋_GBK" w:hAnsi="方正仿宋_GBK"/>
          <w:lang w:bidi="mn-Mong-CN"/>
        </w:rPr>
        <w:t>3.设备和计算安全</w:t>
      </w:r>
    </w:p>
    <w:p>
      <w:pPr>
        <w:pStyle w:val="2"/>
        <w:kinsoku/>
        <w:wordWrap/>
        <w:topLinePunct w:val="0"/>
        <w:autoSpaceDE/>
        <w:autoSpaceDN/>
        <w:bidi w:val="0"/>
        <w:spacing w:line="560" w:lineRule="exact"/>
        <w:ind w:firstLineChars="0"/>
        <w:rPr>
          <w:rFonts w:ascii="方正仿宋_GBK" w:hAnsi="方正仿宋_GBK"/>
          <w:lang w:bidi="mn-Mong-CN"/>
        </w:rPr>
      </w:pPr>
      <w:r>
        <w:rPr>
          <w:rFonts w:hint="eastAsia" w:ascii="方正仿宋_GBK" w:hAnsi="方正仿宋_GBK"/>
          <w:lang w:bidi="mn-Mong-CN"/>
        </w:rPr>
        <w:t>采用密码技术对登录的用户进行身份标识和鉴别，身份标识具备唯一性，身份鉴别信息具有复杂度要求并定期更换；在远程管理时，应使用密码技术的机密性功能来实现鉴别信息的防窃听；使用密码技术的完整性功能来保证系统资源访问控制信息的完整性；使用密码技术的完整性功能来保证系统重要信息资源敏感标记的完整性；采用可信计算技术建立从系统到应用的信任链，实现系统运行过程中重要程序或文件完整性。</w:t>
      </w:r>
    </w:p>
    <w:p>
      <w:pPr>
        <w:pStyle w:val="2"/>
        <w:kinsoku/>
        <w:wordWrap/>
        <w:topLinePunct w:val="0"/>
        <w:autoSpaceDE/>
        <w:autoSpaceDN/>
        <w:bidi w:val="0"/>
        <w:spacing w:line="560" w:lineRule="exact"/>
        <w:ind w:firstLineChars="0"/>
        <w:rPr>
          <w:rFonts w:ascii="方正仿宋_GBK" w:hAnsi="方正仿宋_GBK"/>
          <w:lang w:bidi="mn-Mong-CN"/>
        </w:rPr>
      </w:pPr>
      <w:r>
        <w:rPr>
          <w:rFonts w:hint="eastAsia" w:ascii="方正仿宋_GBK" w:hAnsi="方正仿宋_GBK"/>
          <w:lang w:bidi="mn-Mong-CN"/>
        </w:rPr>
        <w:t>提供设备和计算等资源的单位，需采用密码技术保证设备和计算安全。</w:t>
      </w:r>
    </w:p>
    <w:p>
      <w:pPr>
        <w:pStyle w:val="2"/>
        <w:tabs>
          <w:tab w:val="left" w:pos="0"/>
        </w:tabs>
        <w:kinsoku/>
        <w:wordWrap/>
        <w:topLinePunct w:val="0"/>
        <w:autoSpaceDE/>
        <w:autoSpaceDN/>
        <w:bidi w:val="0"/>
        <w:spacing w:line="560" w:lineRule="exact"/>
        <w:ind w:left="604" w:leftChars="200" w:firstLine="0" w:firstLineChars="0"/>
        <w:rPr>
          <w:rFonts w:ascii="方正仿宋_GBK" w:hAnsi="方正仿宋_GBK"/>
          <w:lang w:bidi="mn-Mong-CN"/>
        </w:rPr>
      </w:pPr>
      <w:r>
        <w:rPr>
          <w:rFonts w:hint="eastAsia" w:ascii="方正仿宋_GBK" w:hAnsi="方正仿宋_GBK"/>
          <w:lang w:bidi="mn-Mong-CN"/>
        </w:rPr>
        <w:t>4.应用和数据安全</w:t>
      </w:r>
    </w:p>
    <w:p>
      <w:pPr>
        <w:pStyle w:val="2"/>
        <w:kinsoku/>
        <w:wordWrap/>
        <w:topLinePunct w:val="0"/>
        <w:autoSpaceDE/>
        <w:autoSpaceDN/>
        <w:bidi w:val="0"/>
        <w:spacing w:line="560" w:lineRule="exact"/>
        <w:ind w:firstLineChars="0"/>
        <w:rPr>
          <w:rFonts w:ascii="方正仿宋_GBK" w:hAnsi="方正仿宋_GBK"/>
          <w:lang w:bidi="mn-Mong-CN"/>
        </w:rPr>
      </w:pPr>
      <w:r>
        <w:rPr>
          <w:rFonts w:hint="eastAsia" w:ascii="方正仿宋_GBK" w:hAnsi="方正仿宋_GBK"/>
          <w:lang w:bidi="mn-Mong-CN"/>
        </w:rPr>
        <w:t>使用密码技术对登录的用户进行身份标识和鉴别，实现身份鉴别信息的防截获、</w:t>
      </w:r>
      <w:r>
        <w:rPr>
          <w:rFonts w:hint="eastAsia" w:ascii="方正仿宋_GBK" w:hAnsi="方正仿宋_GBK"/>
          <w:lang w:eastAsia="zh-CN" w:bidi="mn-Mong-CN"/>
        </w:rPr>
        <w:t>防</w:t>
      </w:r>
      <w:r>
        <w:rPr>
          <w:rFonts w:hint="eastAsia" w:ascii="方正仿宋_GBK" w:hAnsi="方正仿宋_GBK"/>
          <w:lang w:bidi="mn-Mong-CN"/>
        </w:rPr>
        <w:t>假冒和防重用，保证应用系统用户身份的真实性；使用密码技术的完整性功能来保证业务应用系统访问策略、数据库表访问控制信息和重要信息资源敏感标记等信息的完整性；采用密码技术保证重要数据在传输过程中的机密性，包含但不限于鉴别数据、重要业务数据和重要用户信息等；采用密码技术保证重要数据在传输过程中的完整性，包括但不限于鉴别数据、重要业务数据、重要审计数据、重要配置数据、重要视频数据以及重要用户信息等；采用密码技术保证重要数据在存储过程中的完整性，包括但不限于鉴别数据、重要业务数据、重要审计数据、重要配置数据、重要视频数据、重要用户信息、重要可执行程序等；使用密码技术的完整性功能实现对日志记录完整性的保护；采用密码技术对重要应用程序的加载和卸载进行安全控制。</w:t>
      </w:r>
    </w:p>
    <w:p>
      <w:pPr>
        <w:pStyle w:val="2"/>
        <w:kinsoku/>
        <w:wordWrap/>
        <w:topLinePunct w:val="0"/>
        <w:autoSpaceDE/>
        <w:autoSpaceDN/>
        <w:bidi w:val="0"/>
        <w:spacing w:line="560" w:lineRule="exact"/>
        <w:ind w:firstLineChars="0"/>
        <w:rPr>
          <w:rFonts w:ascii="方正仿宋_GBK" w:hAnsi="方正仿宋_GBK"/>
          <w:lang w:bidi="mn-Mong-CN"/>
        </w:rPr>
      </w:pPr>
      <w:r>
        <w:rPr>
          <w:rFonts w:hint="eastAsia" w:ascii="方正仿宋_GBK" w:hAnsi="方正仿宋_GBK"/>
          <w:lang w:bidi="mn-Mong-CN"/>
        </w:rPr>
        <w:t>相关负责单位，需利用密码技术保证应用和数据安全。</w:t>
      </w:r>
    </w:p>
    <w:p>
      <w:pPr>
        <w:pStyle w:val="7"/>
        <w:kinsoku/>
        <w:wordWrap/>
        <w:topLinePunct w:val="0"/>
        <w:autoSpaceDE/>
        <w:autoSpaceDN/>
        <w:bidi w:val="0"/>
        <w:spacing w:before="198" w:after="198" w:line="560" w:lineRule="exact"/>
        <w:rPr>
          <w:rFonts w:hint="default"/>
        </w:rPr>
      </w:pPr>
      <w:bookmarkStart w:id="423" w:name="_Toc42508570"/>
      <w:bookmarkStart w:id="424" w:name="_Toc28350"/>
      <w:bookmarkStart w:id="425" w:name="_Toc29923"/>
      <w:bookmarkStart w:id="426" w:name="_Toc74755426"/>
      <w:r>
        <w:t>密码使用管理方案</w:t>
      </w:r>
      <w:bookmarkEnd w:id="423"/>
      <w:bookmarkEnd w:id="424"/>
      <w:bookmarkEnd w:id="425"/>
      <w:bookmarkEnd w:id="426"/>
    </w:p>
    <w:p>
      <w:pPr>
        <w:pStyle w:val="2"/>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密码的应用管理必须遵守国家的相关法律法规，同时避免密码泄露危害信息系统安全，具体如下：</w:t>
      </w:r>
    </w:p>
    <w:p>
      <w:pPr>
        <w:pStyle w:val="2"/>
        <w:tabs>
          <w:tab w:val="left" w:pos="0"/>
        </w:tabs>
        <w:kinsoku/>
        <w:wordWrap/>
        <w:topLinePunct w:val="0"/>
        <w:autoSpaceDE/>
        <w:autoSpaceDN/>
        <w:bidi w:val="0"/>
        <w:spacing w:line="560" w:lineRule="exact"/>
        <w:ind w:left="604" w:leftChars="200" w:firstLine="0" w:firstLineChars="0"/>
        <w:rPr>
          <w:rFonts w:ascii="方正仿宋_GBK" w:hAnsi="方正仿宋_GBK"/>
          <w:lang w:bidi="mn-Mong-CN"/>
        </w:rPr>
      </w:pPr>
      <w:r>
        <w:rPr>
          <w:rFonts w:hint="eastAsia" w:ascii="方正仿宋_GBK" w:hAnsi="方正仿宋_GBK"/>
          <w:lang w:bidi="mn-Mong-CN"/>
        </w:rPr>
        <w:t>1.制定密码使用管理的规章制度；</w:t>
      </w:r>
    </w:p>
    <w:p>
      <w:pPr>
        <w:pStyle w:val="2"/>
        <w:tabs>
          <w:tab w:val="left" w:pos="0"/>
        </w:tabs>
        <w:kinsoku/>
        <w:wordWrap/>
        <w:topLinePunct w:val="0"/>
        <w:autoSpaceDE/>
        <w:autoSpaceDN/>
        <w:bidi w:val="0"/>
        <w:spacing w:line="560" w:lineRule="exact"/>
        <w:ind w:left="604" w:leftChars="200" w:firstLine="0" w:firstLineChars="0"/>
        <w:rPr>
          <w:rFonts w:ascii="方正仿宋_GBK" w:hAnsi="方正仿宋_GBK"/>
          <w:lang w:bidi="mn-Mong-CN"/>
        </w:rPr>
      </w:pPr>
      <w:r>
        <w:rPr>
          <w:rFonts w:hint="eastAsia" w:ascii="方正仿宋_GBK" w:hAnsi="方正仿宋_GBK"/>
          <w:lang w:bidi="mn-Mong-CN"/>
        </w:rPr>
        <w:t>2.制定密码设置管理使用规则；</w:t>
      </w:r>
    </w:p>
    <w:p>
      <w:pPr>
        <w:pStyle w:val="2"/>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本方案所称的账号、密码，是指登陆应用系统、网络设备等各类计算机软件、硬件系统的用户名和密码。账号和密码由用户自行保留，不得泄漏或转借他人使用，不得借用他人账号；不得利用账号、密码从事破坏计算机软件系统、硬件系统的活动。规则如下：</w:t>
      </w:r>
    </w:p>
    <w:p>
      <w:pPr>
        <w:pStyle w:val="2"/>
        <w:widowControl w:val="0"/>
        <w:numPr>
          <w:ilvl w:val="0"/>
          <w:numId w:val="114"/>
        </w:numPr>
        <w:tabs>
          <w:tab w:val="left" w:pos="792"/>
        </w:tabs>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密码字应超过8个字符；</w:t>
      </w:r>
    </w:p>
    <w:p>
      <w:pPr>
        <w:pStyle w:val="2"/>
        <w:widowControl w:val="0"/>
        <w:numPr>
          <w:ilvl w:val="0"/>
          <w:numId w:val="114"/>
        </w:numPr>
        <w:tabs>
          <w:tab w:val="left" w:pos="792"/>
        </w:tabs>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密码字应由字母和数字组成，重要账号不要使用仅由字母或者数字组成的口令字；</w:t>
      </w:r>
    </w:p>
    <w:p>
      <w:pPr>
        <w:pStyle w:val="2"/>
        <w:widowControl w:val="0"/>
        <w:numPr>
          <w:ilvl w:val="0"/>
          <w:numId w:val="114"/>
        </w:numPr>
        <w:tabs>
          <w:tab w:val="left" w:pos="792"/>
        </w:tabs>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避免使用姓名、生日以及其他常用的密码；</w:t>
      </w:r>
    </w:p>
    <w:p>
      <w:pPr>
        <w:pStyle w:val="2"/>
        <w:widowControl w:val="0"/>
        <w:numPr>
          <w:ilvl w:val="0"/>
          <w:numId w:val="114"/>
        </w:numPr>
        <w:tabs>
          <w:tab w:val="left" w:pos="792"/>
        </w:tabs>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对网络管理员、系统管理员、系统操作员、数据库管理员所用密码需由专人负责管理和保存；</w:t>
      </w:r>
    </w:p>
    <w:p>
      <w:pPr>
        <w:pStyle w:val="2"/>
        <w:widowControl w:val="0"/>
        <w:numPr>
          <w:ilvl w:val="0"/>
          <w:numId w:val="114"/>
        </w:numPr>
        <w:tabs>
          <w:tab w:val="left" w:pos="792"/>
        </w:tabs>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密码或口令要定期更换，更换周期不得长于三个月，更换后系统管理员要销毁原记录；</w:t>
      </w:r>
    </w:p>
    <w:p>
      <w:pPr>
        <w:pStyle w:val="2"/>
        <w:widowControl w:val="0"/>
        <w:numPr>
          <w:ilvl w:val="0"/>
          <w:numId w:val="114"/>
        </w:numPr>
        <w:tabs>
          <w:tab w:val="left" w:pos="792"/>
        </w:tabs>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发现密码或口令有泄密现象，系统管理员要立刻报告，同时要做好相关记录；</w:t>
      </w:r>
    </w:p>
    <w:p>
      <w:pPr>
        <w:pStyle w:val="2"/>
        <w:widowControl w:val="0"/>
        <w:numPr>
          <w:ilvl w:val="0"/>
          <w:numId w:val="114"/>
        </w:numPr>
        <w:tabs>
          <w:tab w:val="left" w:pos="792"/>
        </w:tabs>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遇到安全问题时，及时汇报上级领导，采取相应措施及时解决。</w:t>
      </w:r>
    </w:p>
    <w:bookmarkEnd w:id="411"/>
    <w:bookmarkEnd w:id="412"/>
    <w:bookmarkEnd w:id="413"/>
    <w:bookmarkEnd w:id="414"/>
    <w:bookmarkEnd w:id="415"/>
    <w:p>
      <w:pPr>
        <w:pStyle w:val="5"/>
        <w:kinsoku/>
        <w:wordWrap/>
        <w:topLinePunct w:val="0"/>
        <w:autoSpaceDE/>
        <w:autoSpaceDN/>
        <w:bidi w:val="0"/>
        <w:spacing w:before="198" w:after="198" w:line="560" w:lineRule="exact"/>
        <w:rPr>
          <w:rFonts w:hint="default"/>
        </w:rPr>
      </w:pPr>
      <w:bookmarkStart w:id="427" w:name="_Toc6151"/>
      <w:bookmarkStart w:id="428" w:name="_Toc11263"/>
      <w:bookmarkStart w:id="429" w:name="_Toc6498"/>
      <w:bookmarkStart w:id="430" w:name="_Toc14290"/>
      <w:bookmarkStart w:id="431" w:name="_Toc18207"/>
      <w:r>
        <w:t>系统软硬件设备选型原则及详细配置清单</w:t>
      </w:r>
      <w:bookmarkEnd w:id="427"/>
      <w:bookmarkEnd w:id="428"/>
      <w:bookmarkEnd w:id="429"/>
      <w:bookmarkEnd w:id="430"/>
      <w:bookmarkEnd w:id="431"/>
    </w:p>
    <w:p>
      <w:pPr>
        <w:pStyle w:val="6"/>
        <w:kinsoku/>
        <w:wordWrap/>
        <w:topLinePunct w:val="0"/>
        <w:autoSpaceDE/>
        <w:autoSpaceDN/>
        <w:bidi w:val="0"/>
        <w:spacing w:before="198" w:after="198" w:line="560" w:lineRule="exact"/>
      </w:pPr>
      <w:bookmarkStart w:id="432" w:name="_Toc19778"/>
      <w:bookmarkStart w:id="433" w:name="_Toc15336"/>
      <w:bookmarkStart w:id="434" w:name="_Toc1364"/>
      <w:bookmarkStart w:id="435" w:name="_Toc26417"/>
      <w:bookmarkStart w:id="436" w:name="_Toc19213"/>
      <w:r>
        <w:rPr>
          <w:rFonts w:hint="eastAsia"/>
        </w:rPr>
        <w:t>选型原则</w:t>
      </w:r>
      <w:bookmarkEnd w:id="432"/>
      <w:bookmarkEnd w:id="433"/>
      <w:bookmarkEnd w:id="434"/>
      <w:bookmarkEnd w:id="435"/>
      <w:bookmarkEnd w:id="436"/>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1.先进性和成熟性</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数字化转型需要运用新一代信息技术，对业务流程、数据进行整合，形成有价值的数字资产，助力集团战略落地，赋能企业价值提升。数字化转型不仅要求企业能够迅速学习和掌握先进的信息技术，还需要将新技术</w:t>
      </w:r>
      <w:r>
        <w:rPr>
          <w:rFonts w:hint="eastAsia" w:ascii="方正仿宋_GBK" w:hAnsi="方正仿宋_GBK"/>
          <w:lang w:eastAsia="zh-CN"/>
        </w:rPr>
        <w:t>融会贯通</w:t>
      </w:r>
      <w:r>
        <w:rPr>
          <w:rFonts w:hint="eastAsia" w:ascii="方正仿宋_GBK" w:hAnsi="方正仿宋_GBK"/>
        </w:rPr>
        <w:t>运用于业务应用。因此在设备选型时，必须要紧密结合新一代信息技术，选用技术先进的软硬件设备。</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在充分考虑技术先进性的同时，在产品的选择上选用经过验证的国内主流成熟产品，在集成商的选择上，选择有强大的集成能力、</w:t>
      </w:r>
      <w:r>
        <w:rPr>
          <w:rFonts w:hint="eastAsia" w:ascii="方正仿宋_GBK" w:hAnsi="方正仿宋_GBK"/>
          <w:lang w:val="en-US" w:eastAsia="zh-CN"/>
        </w:rPr>
        <w:t>运维能力，</w:t>
      </w:r>
      <w:r>
        <w:rPr>
          <w:rFonts w:hint="eastAsia" w:ascii="方正仿宋_GBK" w:hAnsi="方正仿宋_GBK"/>
        </w:rPr>
        <w:t>有自己成熟的平台和技术、有大数据中心建设能力、有成熟数据中台产品，有适用于本次项目应用的成熟软件产品的集成商。</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2.可靠性与安全性</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选用的软硬件产品要具有高可靠性及强大的容错能力，必须保证7*24全天候不间断地工作，核心设备具有全容错结构、热插拔功能，可带电修复有关故障而不影响整个系统的工作；设备及软件应保持一定数量的冗余。</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设备选型严格按照国家关于信息安全的规定和要求，坚持安全防护与业务紧耦合，坚持核心关键技术自主可控，坚持安全工程的集约化管理和工程过程的规范化管理。系统建设所需的主机及存储系统、网络及安全系统、数据库软件、应用软件等优先选择国产产品，以确保系统的安全性，且软硬件支持IPV6网络协议。</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3.扩展性与共享性</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本项目要求在进行软硬件选型时，要求所选软硬件设备具有良好的扩展性，硬件设备留有标准化的扩展接口，软件设备留有标准化的二次开发接口和API，系统能力、软件功能、软件版本可以随着业务发展进行扩展和升级迭代。</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选型遵循开放共享要求，采用开放性好、标准化程度高的产品，要求系统建设与现有系统平台，实现内部的信息共享，同时实现与外部业务系统的互联互通，推动国有资产数据的开放共享。</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4.经济性与实用性</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设备选型在满足系统能力、功能前提下，遵循经济性原则，控制项目投资。</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软件产品选型应突出实用，功能应紧密结合业务需求，流程节点设置合理，人机界面友好，充分考虑用户使用习惯，界面简洁、排版有序、操作方便、流程合理、图表美观、报表灵活。</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5.国产化</w:t>
      </w:r>
    </w:p>
    <w:p>
      <w:pPr>
        <w:kinsoku/>
        <w:wordWrap/>
        <w:topLinePunct w:val="0"/>
        <w:autoSpaceDE/>
        <w:autoSpaceDN/>
        <w:bidi w:val="0"/>
        <w:spacing w:line="560" w:lineRule="exact"/>
        <w:ind w:firstLine="604"/>
        <w:rPr>
          <w:rFonts w:ascii="方正仿宋_GBK" w:hAnsi="方正仿宋_GBK"/>
        </w:rPr>
      </w:pPr>
      <w:r>
        <w:rPr>
          <w:rFonts w:hint="eastAsia" w:ascii="方正仿宋_GBK" w:hAnsi="方正仿宋_GBK"/>
        </w:rPr>
        <w:t>系统建设所需的主机及存储系统、网络及安全系统、数据库软件、应用软件等优先选择国产产品，以确保系统的安全性，且软硬件支持IPV6网络协议。</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方正小标宋_GBK">
    <w:panose1 w:val="03000509000000000000"/>
    <w:charset w:val="86"/>
    <w:family w:val="auto"/>
    <w:pitch w:val="default"/>
    <w:sig w:usb0="00000001" w:usb1="080E0000" w:usb2="00000000" w:usb3="00000000" w:csb0="00040000" w:csb1="00000000"/>
  </w:font>
  <w:font w:name="华文宋体">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BCE99A"/>
    <w:multiLevelType w:val="singleLevel"/>
    <w:tmpl w:val="82BCE99A"/>
    <w:lvl w:ilvl="0" w:tentative="0">
      <w:start w:val="1"/>
      <w:numFmt w:val="lowerLetter"/>
      <w:suff w:val="nothing"/>
      <w:lvlText w:val="%1."/>
      <w:lvlJc w:val="left"/>
      <w:pPr>
        <w:ind w:left="0" w:firstLine="0"/>
      </w:pPr>
      <w:rPr>
        <w:rFonts w:hint="default"/>
      </w:rPr>
    </w:lvl>
  </w:abstractNum>
  <w:abstractNum w:abstractNumId="1">
    <w:nsid w:val="8A9F1CDE"/>
    <w:multiLevelType w:val="singleLevel"/>
    <w:tmpl w:val="8A9F1CDE"/>
    <w:lvl w:ilvl="0" w:tentative="0">
      <w:start w:val="1"/>
      <w:numFmt w:val="decimal"/>
      <w:suff w:val="space"/>
      <w:lvlText w:val="%1."/>
      <w:lvlJc w:val="left"/>
      <w:pPr>
        <w:tabs>
          <w:tab w:val="left" w:pos="0"/>
        </w:tabs>
        <w:ind w:left="420" w:hanging="420"/>
      </w:pPr>
      <w:rPr>
        <w:rFonts w:hint="default"/>
      </w:rPr>
    </w:lvl>
  </w:abstractNum>
  <w:abstractNum w:abstractNumId="2">
    <w:nsid w:val="8DCE9335"/>
    <w:multiLevelType w:val="singleLevel"/>
    <w:tmpl w:val="8DCE9335"/>
    <w:lvl w:ilvl="0" w:tentative="0">
      <w:start w:val="1"/>
      <w:numFmt w:val="lowerLetter"/>
      <w:suff w:val="nothing"/>
      <w:lvlText w:val="%1."/>
      <w:lvlJc w:val="left"/>
      <w:pPr>
        <w:ind w:left="0" w:firstLine="0"/>
      </w:pPr>
      <w:rPr>
        <w:rFonts w:hint="default"/>
      </w:rPr>
    </w:lvl>
  </w:abstractNum>
  <w:abstractNum w:abstractNumId="3">
    <w:nsid w:val="8F2ECEDA"/>
    <w:multiLevelType w:val="singleLevel"/>
    <w:tmpl w:val="8F2ECEDA"/>
    <w:lvl w:ilvl="0" w:tentative="0">
      <w:start w:val="1"/>
      <w:numFmt w:val="decimal"/>
      <w:suff w:val="nothing"/>
      <w:lvlText w:val="(%1)"/>
      <w:lvlJc w:val="left"/>
      <w:pPr>
        <w:ind w:left="0" w:firstLine="0"/>
      </w:pPr>
      <w:rPr>
        <w:rFonts w:hint="default"/>
      </w:rPr>
    </w:lvl>
  </w:abstractNum>
  <w:abstractNum w:abstractNumId="4">
    <w:nsid w:val="9039F9BC"/>
    <w:multiLevelType w:val="singleLevel"/>
    <w:tmpl w:val="9039F9BC"/>
    <w:lvl w:ilvl="0" w:tentative="0">
      <w:start w:val="1"/>
      <w:numFmt w:val="decimal"/>
      <w:suff w:val="nothing"/>
      <w:lvlText w:val="%1."/>
      <w:lvlJc w:val="left"/>
      <w:pPr>
        <w:ind w:left="0" w:firstLine="0"/>
      </w:pPr>
      <w:rPr>
        <w:rFonts w:hint="default"/>
      </w:rPr>
    </w:lvl>
  </w:abstractNum>
  <w:abstractNum w:abstractNumId="5">
    <w:nsid w:val="925F220F"/>
    <w:multiLevelType w:val="singleLevel"/>
    <w:tmpl w:val="925F220F"/>
    <w:lvl w:ilvl="0" w:tentative="0">
      <w:start w:val="1"/>
      <w:numFmt w:val="decimal"/>
      <w:suff w:val="nothing"/>
      <w:lvlText w:val="%1."/>
      <w:lvlJc w:val="left"/>
      <w:pPr>
        <w:ind w:left="0" w:firstLine="0"/>
      </w:pPr>
      <w:rPr>
        <w:rFonts w:hint="default"/>
      </w:rPr>
    </w:lvl>
  </w:abstractNum>
  <w:abstractNum w:abstractNumId="6">
    <w:nsid w:val="95016206"/>
    <w:multiLevelType w:val="singleLevel"/>
    <w:tmpl w:val="95016206"/>
    <w:lvl w:ilvl="0" w:tentative="0">
      <w:start w:val="1"/>
      <w:numFmt w:val="lowerLetter"/>
      <w:suff w:val="nothing"/>
      <w:lvlText w:val="%1."/>
      <w:lvlJc w:val="left"/>
      <w:pPr>
        <w:ind w:left="0" w:firstLine="0"/>
      </w:pPr>
      <w:rPr>
        <w:rFonts w:hint="default"/>
      </w:rPr>
    </w:lvl>
  </w:abstractNum>
  <w:abstractNum w:abstractNumId="7">
    <w:nsid w:val="95F56DCA"/>
    <w:multiLevelType w:val="singleLevel"/>
    <w:tmpl w:val="95F56DCA"/>
    <w:lvl w:ilvl="0" w:tentative="0">
      <w:start w:val="1"/>
      <w:numFmt w:val="decimal"/>
      <w:suff w:val="nothing"/>
      <w:lvlText w:val="%1."/>
      <w:lvlJc w:val="left"/>
      <w:pPr>
        <w:ind w:left="0" w:firstLine="0"/>
      </w:pPr>
      <w:rPr>
        <w:rFonts w:hint="default"/>
      </w:rPr>
    </w:lvl>
  </w:abstractNum>
  <w:abstractNum w:abstractNumId="8">
    <w:nsid w:val="96F4EB12"/>
    <w:multiLevelType w:val="singleLevel"/>
    <w:tmpl w:val="96F4EB12"/>
    <w:lvl w:ilvl="0" w:tentative="0">
      <w:start w:val="1"/>
      <w:numFmt w:val="lowerLetter"/>
      <w:suff w:val="nothing"/>
      <w:lvlText w:val="%1."/>
      <w:lvlJc w:val="left"/>
      <w:pPr>
        <w:ind w:left="0" w:firstLine="0"/>
      </w:pPr>
      <w:rPr>
        <w:rFonts w:hint="default"/>
      </w:rPr>
    </w:lvl>
  </w:abstractNum>
  <w:abstractNum w:abstractNumId="9">
    <w:nsid w:val="990EB1FF"/>
    <w:multiLevelType w:val="singleLevel"/>
    <w:tmpl w:val="990EB1FF"/>
    <w:lvl w:ilvl="0" w:tentative="0">
      <w:start w:val="1"/>
      <w:numFmt w:val="lowerLetter"/>
      <w:suff w:val="nothing"/>
      <w:lvlText w:val="%1."/>
      <w:lvlJc w:val="left"/>
      <w:pPr>
        <w:ind w:left="0" w:firstLine="0"/>
      </w:pPr>
      <w:rPr>
        <w:rFonts w:hint="default"/>
      </w:rPr>
    </w:lvl>
  </w:abstractNum>
  <w:abstractNum w:abstractNumId="10">
    <w:nsid w:val="9AA78EEC"/>
    <w:multiLevelType w:val="singleLevel"/>
    <w:tmpl w:val="9AA78EEC"/>
    <w:lvl w:ilvl="0" w:tentative="0">
      <w:start w:val="1"/>
      <w:numFmt w:val="lowerLetter"/>
      <w:suff w:val="nothing"/>
      <w:lvlText w:val="%1."/>
      <w:lvlJc w:val="left"/>
      <w:pPr>
        <w:ind w:left="0" w:firstLine="0"/>
      </w:pPr>
      <w:rPr>
        <w:rFonts w:hint="default"/>
      </w:rPr>
    </w:lvl>
  </w:abstractNum>
  <w:abstractNum w:abstractNumId="11">
    <w:nsid w:val="A2DA599A"/>
    <w:multiLevelType w:val="singleLevel"/>
    <w:tmpl w:val="A2DA599A"/>
    <w:lvl w:ilvl="0" w:tentative="0">
      <w:start w:val="1"/>
      <w:numFmt w:val="lowerLetter"/>
      <w:suff w:val="nothing"/>
      <w:lvlText w:val="%1."/>
      <w:lvlJc w:val="left"/>
      <w:pPr>
        <w:ind w:left="0" w:firstLine="0"/>
      </w:pPr>
      <w:rPr>
        <w:rFonts w:hint="default"/>
      </w:rPr>
    </w:lvl>
  </w:abstractNum>
  <w:abstractNum w:abstractNumId="12">
    <w:nsid w:val="A787EAA1"/>
    <w:multiLevelType w:val="singleLevel"/>
    <w:tmpl w:val="A787EAA1"/>
    <w:lvl w:ilvl="0" w:tentative="0">
      <w:start w:val="1"/>
      <w:numFmt w:val="lowerLetter"/>
      <w:suff w:val="nothing"/>
      <w:lvlText w:val="%1."/>
      <w:lvlJc w:val="left"/>
      <w:pPr>
        <w:ind w:left="0" w:firstLine="0"/>
      </w:pPr>
      <w:rPr>
        <w:rFonts w:hint="default"/>
      </w:rPr>
    </w:lvl>
  </w:abstractNum>
  <w:abstractNum w:abstractNumId="13">
    <w:nsid w:val="AB27168A"/>
    <w:multiLevelType w:val="singleLevel"/>
    <w:tmpl w:val="AB27168A"/>
    <w:lvl w:ilvl="0" w:tentative="0">
      <w:start w:val="1"/>
      <w:numFmt w:val="decimal"/>
      <w:suff w:val="nothing"/>
      <w:lvlText w:val="%1."/>
      <w:lvlJc w:val="left"/>
      <w:pPr>
        <w:ind w:left="0" w:firstLine="0"/>
      </w:pPr>
      <w:rPr>
        <w:rFonts w:hint="default"/>
      </w:rPr>
    </w:lvl>
  </w:abstractNum>
  <w:abstractNum w:abstractNumId="14">
    <w:nsid w:val="AC98F9A1"/>
    <w:multiLevelType w:val="singleLevel"/>
    <w:tmpl w:val="AC98F9A1"/>
    <w:lvl w:ilvl="0" w:tentative="0">
      <w:start w:val="1"/>
      <w:numFmt w:val="decimal"/>
      <w:suff w:val="space"/>
      <w:lvlText w:val="%1."/>
      <w:lvlJc w:val="left"/>
      <w:pPr>
        <w:tabs>
          <w:tab w:val="left" w:pos="0"/>
        </w:tabs>
        <w:ind w:left="420" w:hanging="420"/>
      </w:pPr>
      <w:rPr>
        <w:rFonts w:hint="default"/>
      </w:rPr>
    </w:lvl>
  </w:abstractNum>
  <w:abstractNum w:abstractNumId="15">
    <w:nsid w:val="AE513601"/>
    <w:multiLevelType w:val="multilevel"/>
    <w:tmpl w:val="AE513601"/>
    <w:lvl w:ilvl="0" w:tentative="0">
      <w:start w:val="1"/>
      <w:numFmt w:val="decimal"/>
      <w:suff w:val="space"/>
      <w:lvlText w:val="(%1)"/>
      <w:lvlJc w:val="left"/>
      <w:pPr>
        <w:ind w:left="0" w:firstLine="0"/>
      </w:pPr>
      <w:rPr>
        <w:rFonts w:hint="default"/>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6">
    <w:nsid w:val="AE75DBD3"/>
    <w:multiLevelType w:val="singleLevel"/>
    <w:tmpl w:val="AE75DBD3"/>
    <w:lvl w:ilvl="0" w:tentative="0">
      <w:start w:val="1"/>
      <w:numFmt w:val="lowerLetter"/>
      <w:suff w:val="nothing"/>
      <w:lvlText w:val="%1."/>
      <w:lvlJc w:val="left"/>
      <w:pPr>
        <w:ind w:left="0" w:firstLine="0"/>
      </w:pPr>
      <w:rPr>
        <w:rFonts w:hint="default"/>
      </w:rPr>
    </w:lvl>
  </w:abstractNum>
  <w:abstractNum w:abstractNumId="17">
    <w:nsid w:val="AFA699A2"/>
    <w:multiLevelType w:val="singleLevel"/>
    <w:tmpl w:val="AFA699A2"/>
    <w:lvl w:ilvl="0" w:tentative="0">
      <w:start w:val="1"/>
      <w:numFmt w:val="lowerLetter"/>
      <w:suff w:val="space"/>
      <w:lvlText w:val="%1."/>
      <w:lvlJc w:val="left"/>
      <w:pPr>
        <w:ind w:left="454" w:hanging="454"/>
      </w:pPr>
      <w:rPr>
        <w:rFonts w:hint="default"/>
      </w:rPr>
    </w:lvl>
  </w:abstractNum>
  <w:abstractNum w:abstractNumId="18">
    <w:nsid w:val="B4CA4A7C"/>
    <w:multiLevelType w:val="singleLevel"/>
    <w:tmpl w:val="B4CA4A7C"/>
    <w:lvl w:ilvl="0" w:tentative="0">
      <w:start w:val="1"/>
      <w:numFmt w:val="decimal"/>
      <w:suff w:val="nothing"/>
      <w:lvlText w:val="%1."/>
      <w:lvlJc w:val="left"/>
      <w:pPr>
        <w:ind w:left="0" w:firstLine="0"/>
      </w:pPr>
      <w:rPr>
        <w:rFonts w:hint="default"/>
      </w:rPr>
    </w:lvl>
  </w:abstractNum>
  <w:abstractNum w:abstractNumId="19">
    <w:nsid w:val="B78AA0C8"/>
    <w:multiLevelType w:val="singleLevel"/>
    <w:tmpl w:val="B78AA0C8"/>
    <w:lvl w:ilvl="0" w:tentative="0">
      <w:start w:val="1"/>
      <w:numFmt w:val="decimal"/>
      <w:suff w:val="nothing"/>
      <w:lvlText w:val="(%1)"/>
      <w:lvlJc w:val="left"/>
      <w:pPr>
        <w:ind w:left="454" w:hanging="454"/>
      </w:pPr>
      <w:rPr>
        <w:rFonts w:hint="default"/>
      </w:rPr>
    </w:lvl>
  </w:abstractNum>
  <w:abstractNum w:abstractNumId="20">
    <w:nsid w:val="C368F039"/>
    <w:multiLevelType w:val="singleLevel"/>
    <w:tmpl w:val="C368F039"/>
    <w:lvl w:ilvl="0" w:tentative="0">
      <w:start w:val="1"/>
      <w:numFmt w:val="decimal"/>
      <w:suff w:val="nothing"/>
      <w:lvlText w:val="%1."/>
      <w:lvlJc w:val="left"/>
      <w:pPr>
        <w:ind w:left="0" w:firstLine="0"/>
      </w:pPr>
      <w:rPr>
        <w:rFonts w:hint="default"/>
      </w:rPr>
    </w:lvl>
  </w:abstractNum>
  <w:abstractNum w:abstractNumId="21">
    <w:nsid w:val="C3F36ECA"/>
    <w:multiLevelType w:val="singleLevel"/>
    <w:tmpl w:val="C3F36ECA"/>
    <w:lvl w:ilvl="0" w:tentative="0">
      <w:start w:val="1"/>
      <w:numFmt w:val="lowerLetter"/>
      <w:suff w:val="nothing"/>
      <w:lvlText w:val="%1."/>
      <w:lvlJc w:val="left"/>
      <w:pPr>
        <w:ind w:left="0" w:firstLine="0"/>
      </w:pPr>
      <w:rPr>
        <w:rFonts w:hint="default"/>
      </w:rPr>
    </w:lvl>
  </w:abstractNum>
  <w:abstractNum w:abstractNumId="22">
    <w:nsid w:val="C94A5B41"/>
    <w:multiLevelType w:val="singleLevel"/>
    <w:tmpl w:val="C94A5B41"/>
    <w:lvl w:ilvl="0" w:tentative="0">
      <w:start w:val="1"/>
      <w:numFmt w:val="decimal"/>
      <w:suff w:val="nothing"/>
      <w:lvlText w:val="(%1)"/>
      <w:lvlJc w:val="left"/>
      <w:pPr>
        <w:ind w:left="0" w:firstLine="0"/>
      </w:pPr>
      <w:rPr>
        <w:rFonts w:hint="default"/>
      </w:rPr>
    </w:lvl>
  </w:abstractNum>
  <w:abstractNum w:abstractNumId="23">
    <w:nsid w:val="CA9D7C22"/>
    <w:multiLevelType w:val="singleLevel"/>
    <w:tmpl w:val="CA9D7C22"/>
    <w:lvl w:ilvl="0" w:tentative="0">
      <w:start w:val="1"/>
      <w:numFmt w:val="decimal"/>
      <w:suff w:val="nothing"/>
      <w:lvlText w:val="(%1)"/>
      <w:lvlJc w:val="left"/>
      <w:pPr>
        <w:ind w:left="0" w:firstLine="0"/>
      </w:pPr>
      <w:rPr>
        <w:rFonts w:hint="default"/>
      </w:rPr>
    </w:lvl>
  </w:abstractNum>
  <w:abstractNum w:abstractNumId="24">
    <w:nsid w:val="CE10009D"/>
    <w:multiLevelType w:val="singleLevel"/>
    <w:tmpl w:val="CE10009D"/>
    <w:lvl w:ilvl="0" w:tentative="0">
      <w:start w:val="1"/>
      <w:numFmt w:val="decimal"/>
      <w:suff w:val="nothing"/>
      <w:lvlText w:val="图5-%1"/>
      <w:lvlJc w:val="left"/>
      <w:pPr>
        <w:ind w:left="0" w:firstLine="403"/>
      </w:pPr>
      <w:rPr>
        <w:rFonts w:hint="default"/>
      </w:rPr>
    </w:lvl>
  </w:abstractNum>
  <w:abstractNum w:abstractNumId="25">
    <w:nsid w:val="CED748C1"/>
    <w:multiLevelType w:val="singleLevel"/>
    <w:tmpl w:val="CED748C1"/>
    <w:lvl w:ilvl="0" w:tentative="0">
      <w:start w:val="1"/>
      <w:numFmt w:val="lowerLetter"/>
      <w:suff w:val="nothing"/>
      <w:lvlText w:val="%1."/>
      <w:lvlJc w:val="left"/>
      <w:pPr>
        <w:ind w:left="0" w:firstLine="0"/>
      </w:pPr>
      <w:rPr>
        <w:rFonts w:hint="default"/>
      </w:rPr>
    </w:lvl>
  </w:abstractNum>
  <w:abstractNum w:abstractNumId="26">
    <w:nsid w:val="CF9221AA"/>
    <w:multiLevelType w:val="singleLevel"/>
    <w:tmpl w:val="CF9221AA"/>
    <w:lvl w:ilvl="0" w:tentative="0">
      <w:start w:val="1"/>
      <w:numFmt w:val="decimal"/>
      <w:lvlText w:val="(%1)"/>
      <w:lvlJc w:val="left"/>
      <w:pPr>
        <w:ind w:left="425" w:hanging="425"/>
      </w:pPr>
      <w:rPr>
        <w:rFonts w:hint="default"/>
      </w:rPr>
    </w:lvl>
  </w:abstractNum>
  <w:abstractNum w:abstractNumId="27">
    <w:nsid w:val="D2BF76CA"/>
    <w:multiLevelType w:val="singleLevel"/>
    <w:tmpl w:val="D2BF76CA"/>
    <w:lvl w:ilvl="0" w:tentative="0">
      <w:start w:val="1"/>
      <w:numFmt w:val="decimal"/>
      <w:suff w:val="nothing"/>
      <w:lvlText w:val="(%1)"/>
      <w:lvlJc w:val="left"/>
      <w:pPr>
        <w:ind w:left="0" w:firstLine="0"/>
      </w:pPr>
      <w:rPr>
        <w:rFonts w:hint="default"/>
      </w:rPr>
    </w:lvl>
  </w:abstractNum>
  <w:abstractNum w:abstractNumId="28">
    <w:nsid w:val="D3317EC6"/>
    <w:multiLevelType w:val="singleLevel"/>
    <w:tmpl w:val="D3317EC6"/>
    <w:lvl w:ilvl="0" w:tentative="0">
      <w:start w:val="1"/>
      <w:numFmt w:val="lowerLetter"/>
      <w:suff w:val="nothing"/>
      <w:lvlText w:val="%1."/>
      <w:lvlJc w:val="left"/>
      <w:pPr>
        <w:ind w:left="0" w:firstLine="0"/>
      </w:pPr>
      <w:rPr>
        <w:rFonts w:hint="default"/>
      </w:rPr>
    </w:lvl>
  </w:abstractNum>
  <w:abstractNum w:abstractNumId="29">
    <w:nsid w:val="D359D0F2"/>
    <w:multiLevelType w:val="singleLevel"/>
    <w:tmpl w:val="D359D0F2"/>
    <w:lvl w:ilvl="0" w:tentative="0">
      <w:start w:val="1"/>
      <w:numFmt w:val="lowerLetter"/>
      <w:suff w:val="nothing"/>
      <w:lvlText w:val="%1."/>
      <w:lvlJc w:val="left"/>
      <w:pPr>
        <w:ind w:left="0" w:firstLine="0"/>
      </w:pPr>
      <w:rPr>
        <w:rFonts w:hint="default"/>
      </w:rPr>
    </w:lvl>
  </w:abstractNum>
  <w:abstractNum w:abstractNumId="30">
    <w:nsid w:val="D3F8AA85"/>
    <w:multiLevelType w:val="multilevel"/>
    <w:tmpl w:val="D3F8AA85"/>
    <w:lvl w:ilvl="0" w:tentative="0">
      <w:start w:val="1"/>
      <w:numFmt w:val="decimal"/>
      <w:suff w:val="nothing"/>
      <w:lvlText w:val="(%1)"/>
      <w:lvlJc w:val="left"/>
      <w:pPr>
        <w:ind w:left="0" w:firstLine="0"/>
      </w:pPr>
      <w:rPr>
        <w:rFonts w:hint="default"/>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31">
    <w:nsid w:val="D60316B4"/>
    <w:multiLevelType w:val="singleLevel"/>
    <w:tmpl w:val="D60316B4"/>
    <w:lvl w:ilvl="0" w:tentative="0">
      <w:start w:val="1"/>
      <w:numFmt w:val="decimal"/>
      <w:suff w:val="nothing"/>
      <w:lvlText w:val="(%1)"/>
      <w:lvlJc w:val="left"/>
      <w:pPr>
        <w:ind w:left="454" w:hanging="454"/>
      </w:pPr>
      <w:rPr>
        <w:rFonts w:hint="default"/>
      </w:rPr>
    </w:lvl>
  </w:abstractNum>
  <w:abstractNum w:abstractNumId="32">
    <w:nsid w:val="D741A114"/>
    <w:multiLevelType w:val="singleLevel"/>
    <w:tmpl w:val="D741A114"/>
    <w:lvl w:ilvl="0" w:tentative="0">
      <w:start w:val="1"/>
      <w:numFmt w:val="lowerLetter"/>
      <w:suff w:val="nothing"/>
      <w:lvlText w:val="%1."/>
      <w:lvlJc w:val="left"/>
      <w:pPr>
        <w:ind w:left="0" w:firstLine="0"/>
      </w:pPr>
      <w:rPr>
        <w:rFonts w:hint="default"/>
      </w:rPr>
    </w:lvl>
  </w:abstractNum>
  <w:abstractNum w:abstractNumId="33">
    <w:nsid w:val="D9BA4851"/>
    <w:multiLevelType w:val="singleLevel"/>
    <w:tmpl w:val="D9BA4851"/>
    <w:lvl w:ilvl="0" w:tentative="0">
      <w:start w:val="1"/>
      <w:numFmt w:val="decimal"/>
      <w:suff w:val="nothing"/>
      <w:lvlText w:val="(%1)"/>
      <w:lvlJc w:val="left"/>
      <w:pPr>
        <w:ind w:left="0" w:firstLine="0"/>
      </w:pPr>
      <w:rPr>
        <w:rFonts w:hint="default"/>
      </w:rPr>
    </w:lvl>
  </w:abstractNum>
  <w:abstractNum w:abstractNumId="34">
    <w:nsid w:val="E0567FD1"/>
    <w:multiLevelType w:val="singleLevel"/>
    <w:tmpl w:val="E0567FD1"/>
    <w:lvl w:ilvl="0" w:tentative="0">
      <w:start w:val="1"/>
      <w:numFmt w:val="lowerLetter"/>
      <w:suff w:val="space"/>
      <w:lvlText w:val="%1."/>
      <w:lvlJc w:val="left"/>
      <w:pPr>
        <w:ind w:left="454" w:hanging="454"/>
      </w:pPr>
      <w:rPr>
        <w:rFonts w:hint="default"/>
      </w:rPr>
    </w:lvl>
  </w:abstractNum>
  <w:abstractNum w:abstractNumId="35">
    <w:nsid w:val="E27111A8"/>
    <w:multiLevelType w:val="singleLevel"/>
    <w:tmpl w:val="E27111A8"/>
    <w:lvl w:ilvl="0" w:tentative="0">
      <w:start w:val="1"/>
      <w:numFmt w:val="decimal"/>
      <w:suff w:val="nothing"/>
      <w:lvlText w:val="%1."/>
      <w:lvlJc w:val="left"/>
      <w:pPr>
        <w:ind w:left="0" w:firstLine="0"/>
      </w:pPr>
      <w:rPr>
        <w:rFonts w:hint="default"/>
      </w:rPr>
    </w:lvl>
  </w:abstractNum>
  <w:abstractNum w:abstractNumId="36">
    <w:nsid w:val="E473B941"/>
    <w:multiLevelType w:val="singleLevel"/>
    <w:tmpl w:val="E473B941"/>
    <w:lvl w:ilvl="0" w:tentative="0">
      <w:start w:val="1"/>
      <w:numFmt w:val="lowerLetter"/>
      <w:suff w:val="nothing"/>
      <w:lvlText w:val="%1."/>
      <w:lvlJc w:val="left"/>
      <w:pPr>
        <w:ind w:left="0" w:firstLine="0"/>
      </w:pPr>
      <w:rPr>
        <w:rFonts w:hint="default"/>
      </w:rPr>
    </w:lvl>
  </w:abstractNum>
  <w:abstractNum w:abstractNumId="37">
    <w:nsid w:val="ECE530E9"/>
    <w:multiLevelType w:val="singleLevel"/>
    <w:tmpl w:val="ECE530E9"/>
    <w:lvl w:ilvl="0" w:tentative="0">
      <w:start w:val="1"/>
      <w:numFmt w:val="lowerLetter"/>
      <w:suff w:val="space"/>
      <w:lvlText w:val="%1."/>
      <w:lvlJc w:val="left"/>
      <w:pPr>
        <w:ind w:left="454" w:hanging="454"/>
      </w:pPr>
      <w:rPr>
        <w:rFonts w:hint="default"/>
      </w:rPr>
    </w:lvl>
  </w:abstractNum>
  <w:abstractNum w:abstractNumId="38">
    <w:nsid w:val="EDB2987B"/>
    <w:multiLevelType w:val="singleLevel"/>
    <w:tmpl w:val="EDB2987B"/>
    <w:lvl w:ilvl="0" w:tentative="0">
      <w:start w:val="1"/>
      <w:numFmt w:val="decimal"/>
      <w:suff w:val="nothing"/>
      <w:lvlText w:val="(%1)"/>
      <w:lvlJc w:val="left"/>
      <w:pPr>
        <w:ind w:left="0" w:firstLine="0"/>
      </w:pPr>
      <w:rPr>
        <w:rFonts w:hint="default"/>
      </w:rPr>
    </w:lvl>
  </w:abstractNum>
  <w:abstractNum w:abstractNumId="39">
    <w:nsid w:val="F058B002"/>
    <w:multiLevelType w:val="singleLevel"/>
    <w:tmpl w:val="F058B002"/>
    <w:lvl w:ilvl="0" w:tentative="0">
      <w:start w:val="1"/>
      <w:numFmt w:val="decimal"/>
      <w:suff w:val="nothing"/>
      <w:lvlText w:val="%1."/>
      <w:lvlJc w:val="left"/>
      <w:pPr>
        <w:ind w:left="0" w:firstLine="0"/>
      </w:pPr>
      <w:rPr>
        <w:rFonts w:hint="default"/>
      </w:rPr>
    </w:lvl>
  </w:abstractNum>
  <w:abstractNum w:abstractNumId="40">
    <w:nsid w:val="F47C5CB4"/>
    <w:multiLevelType w:val="singleLevel"/>
    <w:tmpl w:val="F47C5CB4"/>
    <w:lvl w:ilvl="0" w:tentative="0">
      <w:start w:val="1"/>
      <w:numFmt w:val="lowerLetter"/>
      <w:suff w:val="space"/>
      <w:lvlText w:val="%1."/>
      <w:lvlJc w:val="left"/>
      <w:pPr>
        <w:ind w:left="454" w:hanging="454"/>
      </w:pPr>
      <w:rPr>
        <w:rFonts w:hint="default"/>
      </w:rPr>
    </w:lvl>
  </w:abstractNum>
  <w:abstractNum w:abstractNumId="41">
    <w:nsid w:val="F5640E2C"/>
    <w:multiLevelType w:val="singleLevel"/>
    <w:tmpl w:val="F5640E2C"/>
    <w:lvl w:ilvl="0" w:tentative="0">
      <w:start w:val="1"/>
      <w:numFmt w:val="lowerLetter"/>
      <w:suff w:val="nothing"/>
      <w:lvlText w:val="%1."/>
      <w:lvlJc w:val="left"/>
      <w:pPr>
        <w:ind w:left="0" w:firstLine="0"/>
      </w:pPr>
      <w:rPr>
        <w:rFonts w:hint="default"/>
      </w:rPr>
    </w:lvl>
  </w:abstractNum>
  <w:abstractNum w:abstractNumId="42">
    <w:nsid w:val="F680445D"/>
    <w:multiLevelType w:val="singleLevel"/>
    <w:tmpl w:val="F680445D"/>
    <w:lvl w:ilvl="0" w:tentative="0">
      <w:start w:val="1"/>
      <w:numFmt w:val="decimal"/>
      <w:suff w:val="nothing"/>
      <w:lvlText w:val="%1."/>
      <w:lvlJc w:val="left"/>
      <w:pPr>
        <w:ind w:left="0" w:firstLine="0"/>
      </w:pPr>
      <w:rPr>
        <w:rFonts w:hint="default"/>
      </w:rPr>
    </w:lvl>
  </w:abstractNum>
  <w:abstractNum w:abstractNumId="43">
    <w:nsid w:val="FC47DE0D"/>
    <w:multiLevelType w:val="singleLevel"/>
    <w:tmpl w:val="FC47DE0D"/>
    <w:lvl w:ilvl="0" w:tentative="0">
      <w:start w:val="1"/>
      <w:numFmt w:val="decimal"/>
      <w:suff w:val="nothing"/>
      <w:lvlText w:val="(%1)"/>
      <w:lvlJc w:val="left"/>
      <w:pPr>
        <w:ind w:left="454" w:hanging="454"/>
      </w:pPr>
      <w:rPr>
        <w:rFonts w:hint="default"/>
      </w:rPr>
    </w:lvl>
  </w:abstractNum>
  <w:abstractNum w:abstractNumId="44">
    <w:nsid w:val="FD0A05E7"/>
    <w:multiLevelType w:val="singleLevel"/>
    <w:tmpl w:val="FD0A05E7"/>
    <w:lvl w:ilvl="0" w:tentative="0">
      <w:start w:val="1"/>
      <w:numFmt w:val="lowerLetter"/>
      <w:suff w:val="nothing"/>
      <w:lvlText w:val="%1."/>
      <w:lvlJc w:val="left"/>
      <w:pPr>
        <w:ind w:left="0" w:firstLine="0"/>
      </w:pPr>
      <w:rPr>
        <w:rFonts w:hint="default"/>
      </w:rPr>
    </w:lvl>
  </w:abstractNum>
  <w:abstractNum w:abstractNumId="45">
    <w:nsid w:val="FE9422B3"/>
    <w:multiLevelType w:val="singleLevel"/>
    <w:tmpl w:val="FE9422B3"/>
    <w:lvl w:ilvl="0" w:tentative="0">
      <w:start w:val="1"/>
      <w:numFmt w:val="decimal"/>
      <w:suff w:val="nothing"/>
      <w:lvlText w:val="%1."/>
      <w:lvlJc w:val="left"/>
      <w:pPr>
        <w:ind w:left="0" w:firstLine="0"/>
      </w:pPr>
      <w:rPr>
        <w:rFonts w:hint="default"/>
      </w:rPr>
    </w:lvl>
  </w:abstractNum>
  <w:abstractNum w:abstractNumId="46">
    <w:nsid w:val="0289D222"/>
    <w:multiLevelType w:val="singleLevel"/>
    <w:tmpl w:val="0289D222"/>
    <w:lvl w:ilvl="0" w:tentative="0">
      <w:start w:val="1"/>
      <w:numFmt w:val="decimal"/>
      <w:suff w:val="nothing"/>
      <w:lvlText w:val="%1."/>
      <w:lvlJc w:val="left"/>
      <w:pPr>
        <w:ind w:left="0" w:firstLine="0"/>
      </w:pPr>
      <w:rPr>
        <w:rFonts w:hint="default"/>
      </w:rPr>
    </w:lvl>
  </w:abstractNum>
  <w:abstractNum w:abstractNumId="47">
    <w:nsid w:val="04E83A66"/>
    <w:multiLevelType w:val="singleLevel"/>
    <w:tmpl w:val="04E83A66"/>
    <w:lvl w:ilvl="0" w:tentative="0">
      <w:start w:val="1"/>
      <w:numFmt w:val="decimal"/>
      <w:suff w:val="nothing"/>
      <w:lvlText w:val="%1."/>
      <w:lvlJc w:val="left"/>
      <w:pPr>
        <w:ind w:left="0" w:firstLine="0"/>
      </w:pPr>
      <w:rPr>
        <w:rFonts w:hint="default"/>
      </w:rPr>
    </w:lvl>
  </w:abstractNum>
  <w:abstractNum w:abstractNumId="48">
    <w:nsid w:val="06731687"/>
    <w:multiLevelType w:val="singleLevel"/>
    <w:tmpl w:val="06731687"/>
    <w:lvl w:ilvl="0" w:tentative="0">
      <w:start w:val="1"/>
      <w:numFmt w:val="decimal"/>
      <w:suff w:val="nothing"/>
      <w:lvlText w:val="(%1)"/>
      <w:lvlJc w:val="left"/>
      <w:pPr>
        <w:ind w:left="0" w:firstLine="0"/>
      </w:pPr>
      <w:rPr>
        <w:rFonts w:hint="default"/>
      </w:rPr>
    </w:lvl>
  </w:abstractNum>
  <w:abstractNum w:abstractNumId="49">
    <w:nsid w:val="06CB9AA2"/>
    <w:multiLevelType w:val="singleLevel"/>
    <w:tmpl w:val="06CB9AA2"/>
    <w:lvl w:ilvl="0" w:tentative="0">
      <w:start w:val="1"/>
      <w:numFmt w:val="lowerLetter"/>
      <w:suff w:val="space"/>
      <w:lvlText w:val="%1."/>
      <w:lvlJc w:val="left"/>
      <w:pPr>
        <w:ind w:left="454" w:hanging="454"/>
      </w:pPr>
      <w:rPr>
        <w:rFonts w:hint="default"/>
      </w:rPr>
    </w:lvl>
  </w:abstractNum>
  <w:abstractNum w:abstractNumId="50">
    <w:nsid w:val="08F142D0"/>
    <w:multiLevelType w:val="singleLevel"/>
    <w:tmpl w:val="08F142D0"/>
    <w:lvl w:ilvl="0" w:tentative="0">
      <w:start w:val="1"/>
      <w:numFmt w:val="decimal"/>
      <w:suff w:val="nothing"/>
      <w:lvlText w:val="%1."/>
      <w:lvlJc w:val="left"/>
      <w:pPr>
        <w:ind w:left="0" w:firstLine="0"/>
      </w:pPr>
      <w:rPr>
        <w:rFonts w:hint="default"/>
      </w:rPr>
    </w:lvl>
  </w:abstractNum>
  <w:abstractNum w:abstractNumId="51">
    <w:nsid w:val="0F542B44"/>
    <w:multiLevelType w:val="singleLevel"/>
    <w:tmpl w:val="0F542B44"/>
    <w:lvl w:ilvl="0" w:tentative="0">
      <w:start w:val="1"/>
      <w:numFmt w:val="decimal"/>
      <w:suff w:val="nothing"/>
      <w:lvlText w:val="%1."/>
      <w:lvlJc w:val="left"/>
      <w:pPr>
        <w:ind w:left="420" w:hanging="420"/>
      </w:pPr>
      <w:rPr>
        <w:rFonts w:hint="eastAsia"/>
      </w:rPr>
    </w:lvl>
  </w:abstractNum>
  <w:abstractNum w:abstractNumId="52">
    <w:nsid w:val="11FCCC81"/>
    <w:multiLevelType w:val="singleLevel"/>
    <w:tmpl w:val="11FCCC81"/>
    <w:lvl w:ilvl="0" w:tentative="0">
      <w:start w:val="1"/>
      <w:numFmt w:val="lowerLetter"/>
      <w:suff w:val="nothing"/>
      <w:lvlText w:val="%1."/>
      <w:lvlJc w:val="left"/>
      <w:pPr>
        <w:ind w:left="0" w:firstLine="0"/>
      </w:pPr>
      <w:rPr>
        <w:rFonts w:hint="default"/>
      </w:rPr>
    </w:lvl>
  </w:abstractNum>
  <w:abstractNum w:abstractNumId="53">
    <w:nsid w:val="135619A6"/>
    <w:multiLevelType w:val="multilevel"/>
    <w:tmpl w:val="135619A6"/>
    <w:lvl w:ilvl="0" w:tentative="0">
      <w:start w:val="1"/>
      <w:numFmt w:val="chineseCounting"/>
      <w:pStyle w:val="4"/>
      <w:suff w:val="space"/>
      <w:lvlText w:val="第%1章"/>
      <w:lvlJc w:val="left"/>
      <w:pPr>
        <w:tabs>
          <w:tab w:val="left" w:pos="0"/>
        </w:tabs>
        <w:ind w:left="0" w:firstLine="0"/>
      </w:pPr>
      <w:rPr>
        <w:rFonts w:hint="eastAsia" w:ascii="Times New Roman" w:hAnsi="Times New Roman" w:eastAsia="方正黑体_GBK" w:cs="方正黑体_GBK"/>
        <w:b/>
        <w:sz w:val="32"/>
        <w:szCs w:val="32"/>
      </w:rPr>
    </w:lvl>
    <w:lvl w:ilvl="1" w:tentative="0">
      <w:start w:val="1"/>
      <w:numFmt w:val="decimal"/>
      <w:pStyle w:val="5"/>
      <w:isLgl/>
      <w:suff w:val="space"/>
      <w:lvlText w:val="%1.%2"/>
      <w:lvlJc w:val="left"/>
      <w:pPr>
        <w:ind w:left="0" w:firstLine="0"/>
      </w:pPr>
      <w:rPr>
        <w:rFonts w:hint="eastAsia" w:ascii="Times New Roman" w:hAnsi="Times New Roman" w:eastAsia="方正楷体_GBK" w:cs="华文楷体"/>
        <w:b/>
        <w:bCs/>
        <w:i w:val="0"/>
        <w:iCs w:val="0"/>
        <w:caps w:val="0"/>
        <w:smallCaps w:val="0"/>
        <w:strike w:val="0"/>
        <w:dstrike w:val="0"/>
        <w:vanish w:val="0"/>
        <w:color w:val="000000"/>
        <w:spacing w:val="0"/>
        <w:position w:val="0"/>
        <w:sz w:val="32"/>
        <w:szCs w:val="32"/>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pStyle w:val="6"/>
      <w:isLgl/>
      <w:suff w:val="space"/>
      <w:lvlText w:val="%1.%2.%3"/>
      <w:lvlJc w:val="left"/>
      <w:pPr>
        <w:ind w:left="0" w:firstLine="0"/>
      </w:pPr>
      <w:rPr>
        <w:rFonts w:hint="eastAsia" w:ascii="Times New Roman" w:hAnsi="Times New Roman" w:eastAsia="方正仿宋_GBK" w:cs="方正仿宋_GBK"/>
        <w:b/>
        <w:sz w:val="32"/>
        <w:szCs w:val="32"/>
      </w:rPr>
    </w:lvl>
    <w:lvl w:ilvl="3" w:tentative="0">
      <w:start w:val="1"/>
      <w:numFmt w:val="decimal"/>
      <w:pStyle w:val="7"/>
      <w:isLgl/>
      <w:suff w:val="space"/>
      <w:lvlText w:val="%1.%2.%3.%4"/>
      <w:lvlJc w:val="left"/>
      <w:pPr>
        <w:ind w:left="0" w:firstLine="0"/>
      </w:pPr>
      <w:rPr>
        <w:rFonts w:hint="eastAsia" w:ascii="Times New Roman" w:hAnsi="Times New Roman" w:eastAsia="方正仿宋_GBK" w:cs="方正仿宋_GBK"/>
        <w:b/>
        <w:bCs/>
        <w:sz w:val="32"/>
        <w:szCs w:val="32"/>
      </w:rPr>
    </w:lvl>
    <w:lvl w:ilvl="4" w:tentative="0">
      <w:start w:val="1"/>
      <w:numFmt w:val="decimal"/>
      <w:pStyle w:val="8"/>
      <w:isLgl/>
      <w:suff w:val="space"/>
      <w:lvlText w:val="%1.%2.%3.%4.%5"/>
      <w:lvlJc w:val="left"/>
      <w:pPr>
        <w:tabs>
          <w:tab w:val="left" w:pos="0"/>
        </w:tabs>
        <w:ind w:left="0" w:firstLine="0"/>
      </w:pPr>
      <w:rPr>
        <w:rFonts w:hint="eastAsia" w:ascii="Times New Roman" w:hAnsi="Times New Roman" w:eastAsia="方正仿宋_GBK" w:cs="方正仿宋_GBK"/>
        <w:b/>
        <w:bCs/>
        <w:i w:val="0"/>
        <w:sz w:val="32"/>
        <w:szCs w:val="32"/>
      </w:rPr>
    </w:lvl>
    <w:lvl w:ilvl="5" w:tentative="0">
      <w:start w:val="1"/>
      <w:numFmt w:val="decimal"/>
      <w:isLgl/>
      <w:suff w:val="space"/>
      <w:lvlText w:val="%1.%2.%3.%4.%5.%6"/>
      <w:lvlJc w:val="left"/>
      <w:pPr>
        <w:tabs>
          <w:tab w:val="left" w:pos="0"/>
        </w:tabs>
        <w:ind w:left="0" w:firstLine="0"/>
      </w:pPr>
      <w:rPr>
        <w:rFonts w:hint="eastAsia" w:ascii="Arial" w:hAnsi="Arial" w:eastAsia="黑体" w:cs="宋体"/>
        <w:b/>
        <w:sz w:val="24"/>
        <w:szCs w:val="24"/>
      </w:rPr>
    </w:lvl>
    <w:lvl w:ilvl="6" w:tentative="0">
      <w:start w:val="1"/>
      <w:numFmt w:val="decimal"/>
      <w:isLgl/>
      <w:suff w:val="nothing"/>
      <w:lvlText w:val="%1.%2.%3.%4.%5.%6.%7."/>
      <w:lvlJc w:val="left"/>
      <w:pPr>
        <w:ind w:left="0" w:firstLine="0"/>
      </w:pPr>
      <w:rPr>
        <w:rFonts w:hint="eastAsia" w:ascii="Arial" w:hAnsi="Arial" w:eastAsia="宋体" w:cs="Arial"/>
        <w:sz w:val="24"/>
        <w:szCs w:val="24"/>
      </w:rPr>
    </w:lvl>
    <w:lvl w:ilvl="7" w:tentative="0">
      <w:start w:val="1"/>
      <w:numFmt w:val="decimal"/>
      <w:isLgl/>
      <w:lvlText w:val="%1.%2.%3.%4.%5.%6.%7.%8."/>
      <w:lvlJc w:val="left"/>
      <w:pPr>
        <w:tabs>
          <w:tab w:val="left" w:pos="1440"/>
        </w:tabs>
        <w:ind w:left="1440" w:hanging="1440"/>
      </w:pPr>
      <w:rPr>
        <w:rFonts w:hint="eastAsia" w:ascii="宋体" w:hAnsi="宋体" w:eastAsia="宋体" w:cs="宋体"/>
      </w:rPr>
    </w:lvl>
    <w:lvl w:ilvl="8" w:tentative="0">
      <w:start w:val="1"/>
      <w:numFmt w:val="decimal"/>
      <w:isLgl/>
      <w:lvlText w:val="%1.%2.%3.%4.%5.%6.%7.%8.%9."/>
      <w:lvlJc w:val="left"/>
      <w:pPr>
        <w:tabs>
          <w:tab w:val="left" w:pos="1583"/>
        </w:tabs>
        <w:ind w:left="1583" w:hanging="1583"/>
      </w:pPr>
      <w:rPr>
        <w:rFonts w:hint="eastAsia" w:ascii="宋体" w:hAnsi="宋体" w:eastAsia="宋体" w:cs="宋体"/>
      </w:rPr>
    </w:lvl>
  </w:abstractNum>
  <w:abstractNum w:abstractNumId="54">
    <w:nsid w:val="17BDA2AB"/>
    <w:multiLevelType w:val="singleLevel"/>
    <w:tmpl w:val="17BDA2AB"/>
    <w:lvl w:ilvl="0" w:tentative="0">
      <w:start w:val="1"/>
      <w:numFmt w:val="lowerLetter"/>
      <w:suff w:val="nothing"/>
      <w:lvlText w:val="%1."/>
      <w:lvlJc w:val="left"/>
      <w:pPr>
        <w:ind w:left="0" w:firstLine="0"/>
      </w:pPr>
      <w:rPr>
        <w:rFonts w:hint="default"/>
      </w:rPr>
    </w:lvl>
  </w:abstractNum>
  <w:abstractNum w:abstractNumId="55">
    <w:nsid w:val="194E06C2"/>
    <w:multiLevelType w:val="singleLevel"/>
    <w:tmpl w:val="194E06C2"/>
    <w:lvl w:ilvl="0" w:tentative="0">
      <w:start w:val="1"/>
      <w:numFmt w:val="decimal"/>
      <w:suff w:val="nothing"/>
      <w:lvlText w:val="%1."/>
      <w:lvlJc w:val="left"/>
      <w:pPr>
        <w:ind w:left="420" w:hanging="420"/>
      </w:pPr>
      <w:rPr>
        <w:rFonts w:hint="eastAsia"/>
      </w:rPr>
    </w:lvl>
  </w:abstractNum>
  <w:abstractNum w:abstractNumId="56">
    <w:nsid w:val="1D750945"/>
    <w:multiLevelType w:val="singleLevel"/>
    <w:tmpl w:val="1D750945"/>
    <w:lvl w:ilvl="0" w:tentative="0">
      <w:start w:val="1"/>
      <w:numFmt w:val="lowerLetter"/>
      <w:lvlText w:val="%1."/>
      <w:lvlJc w:val="left"/>
      <w:pPr>
        <w:ind w:left="425" w:hanging="425"/>
      </w:pPr>
      <w:rPr>
        <w:rFonts w:hint="default"/>
      </w:rPr>
    </w:lvl>
  </w:abstractNum>
  <w:abstractNum w:abstractNumId="57">
    <w:nsid w:val="1E4C62BD"/>
    <w:multiLevelType w:val="singleLevel"/>
    <w:tmpl w:val="1E4C62BD"/>
    <w:lvl w:ilvl="0" w:tentative="0">
      <w:start w:val="1"/>
      <w:numFmt w:val="decimal"/>
      <w:suff w:val="nothing"/>
      <w:lvlText w:val="%1."/>
      <w:lvlJc w:val="left"/>
      <w:pPr>
        <w:ind w:left="0" w:firstLine="0"/>
      </w:pPr>
      <w:rPr>
        <w:rFonts w:hint="default"/>
      </w:rPr>
    </w:lvl>
  </w:abstractNum>
  <w:abstractNum w:abstractNumId="58">
    <w:nsid w:val="20D6AC2A"/>
    <w:multiLevelType w:val="multilevel"/>
    <w:tmpl w:val="20D6AC2A"/>
    <w:lvl w:ilvl="0" w:tentative="0">
      <w:start w:val="1"/>
      <w:numFmt w:val="decimal"/>
      <w:suff w:val="nothing"/>
      <w:lvlText w:val="%1."/>
      <w:lvlJc w:val="left"/>
      <w:pPr>
        <w:ind w:left="0" w:firstLine="0"/>
      </w:pPr>
    </w:lvl>
    <w:lvl w:ilvl="1" w:tentative="0">
      <w:start w:val="1"/>
      <w:numFmt w:val="lowerLetter"/>
      <w:lvlText w:val="%2)"/>
      <w:lvlJc w:val="left"/>
      <w:pPr>
        <w:ind w:left="1364" w:hanging="420"/>
      </w:pPr>
    </w:lvl>
    <w:lvl w:ilvl="2" w:tentative="0">
      <w:start w:val="1"/>
      <w:numFmt w:val="lowerRoman"/>
      <w:lvlText w:val="%3."/>
      <w:lvlJc w:val="right"/>
      <w:pPr>
        <w:ind w:left="1784" w:hanging="420"/>
      </w:pPr>
    </w:lvl>
    <w:lvl w:ilvl="3" w:tentative="0">
      <w:start w:val="1"/>
      <w:numFmt w:val="decimal"/>
      <w:lvlText w:val="%4."/>
      <w:lvlJc w:val="left"/>
      <w:pPr>
        <w:ind w:left="2204" w:hanging="420"/>
      </w:pPr>
    </w:lvl>
    <w:lvl w:ilvl="4" w:tentative="0">
      <w:start w:val="1"/>
      <w:numFmt w:val="lowerLetter"/>
      <w:lvlText w:val="%5)"/>
      <w:lvlJc w:val="left"/>
      <w:pPr>
        <w:ind w:left="2624" w:hanging="420"/>
      </w:pPr>
    </w:lvl>
    <w:lvl w:ilvl="5" w:tentative="0">
      <w:start w:val="1"/>
      <w:numFmt w:val="lowerRoman"/>
      <w:lvlText w:val="%6."/>
      <w:lvlJc w:val="right"/>
      <w:pPr>
        <w:ind w:left="3044" w:hanging="420"/>
      </w:pPr>
    </w:lvl>
    <w:lvl w:ilvl="6" w:tentative="0">
      <w:start w:val="1"/>
      <w:numFmt w:val="decimal"/>
      <w:lvlText w:val="%7."/>
      <w:lvlJc w:val="left"/>
      <w:pPr>
        <w:ind w:left="3464" w:hanging="420"/>
      </w:pPr>
    </w:lvl>
    <w:lvl w:ilvl="7" w:tentative="0">
      <w:start w:val="1"/>
      <w:numFmt w:val="lowerLetter"/>
      <w:lvlText w:val="%8)"/>
      <w:lvlJc w:val="left"/>
      <w:pPr>
        <w:ind w:left="3884" w:hanging="420"/>
      </w:pPr>
    </w:lvl>
    <w:lvl w:ilvl="8" w:tentative="0">
      <w:start w:val="1"/>
      <w:numFmt w:val="lowerRoman"/>
      <w:lvlText w:val="%9."/>
      <w:lvlJc w:val="right"/>
      <w:pPr>
        <w:ind w:left="4304" w:hanging="420"/>
      </w:pPr>
    </w:lvl>
  </w:abstractNum>
  <w:abstractNum w:abstractNumId="59">
    <w:nsid w:val="21FB44FF"/>
    <w:multiLevelType w:val="singleLevel"/>
    <w:tmpl w:val="21FB44FF"/>
    <w:lvl w:ilvl="0" w:tentative="0">
      <w:start w:val="1"/>
      <w:numFmt w:val="decimal"/>
      <w:suff w:val="nothing"/>
      <w:lvlText w:val="(%1)"/>
      <w:lvlJc w:val="left"/>
      <w:pPr>
        <w:ind w:left="0" w:firstLine="0"/>
      </w:pPr>
      <w:rPr>
        <w:rFonts w:hint="default"/>
      </w:rPr>
    </w:lvl>
  </w:abstractNum>
  <w:abstractNum w:abstractNumId="60">
    <w:nsid w:val="25D37E01"/>
    <w:multiLevelType w:val="singleLevel"/>
    <w:tmpl w:val="25D37E01"/>
    <w:lvl w:ilvl="0" w:tentative="0">
      <w:start w:val="1"/>
      <w:numFmt w:val="decimal"/>
      <w:suff w:val="nothing"/>
      <w:lvlText w:val="表6.%1  "/>
      <w:lvlJc w:val="left"/>
      <w:pPr>
        <w:tabs>
          <w:tab w:val="left" w:pos="0"/>
        </w:tabs>
        <w:ind w:left="0" w:firstLine="0"/>
      </w:pPr>
      <w:rPr>
        <w:rFonts w:hint="default" w:ascii="方正仿宋_GBK" w:hAnsi="方正仿宋_GBK" w:eastAsia="方正仿宋_GBK" w:cs="方正仿宋_GBK"/>
      </w:rPr>
    </w:lvl>
  </w:abstractNum>
  <w:abstractNum w:abstractNumId="61">
    <w:nsid w:val="262E8CD5"/>
    <w:multiLevelType w:val="singleLevel"/>
    <w:tmpl w:val="262E8CD5"/>
    <w:lvl w:ilvl="0" w:tentative="0">
      <w:start w:val="1"/>
      <w:numFmt w:val="decimal"/>
      <w:suff w:val="nothing"/>
      <w:lvlText w:val="%1."/>
      <w:lvlJc w:val="left"/>
      <w:pPr>
        <w:ind w:left="0" w:firstLine="0"/>
      </w:pPr>
      <w:rPr>
        <w:rFonts w:hint="default"/>
      </w:rPr>
    </w:lvl>
  </w:abstractNum>
  <w:abstractNum w:abstractNumId="62">
    <w:nsid w:val="28C44EAF"/>
    <w:multiLevelType w:val="singleLevel"/>
    <w:tmpl w:val="28C44EAF"/>
    <w:lvl w:ilvl="0" w:tentative="0">
      <w:start w:val="1"/>
      <w:numFmt w:val="decimal"/>
      <w:suff w:val="nothing"/>
      <w:lvlText w:val="(%1)"/>
      <w:lvlJc w:val="left"/>
      <w:pPr>
        <w:ind w:left="454" w:hanging="454"/>
      </w:pPr>
      <w:rPr>
        <w:rFonts w:hint="default"/>
      </w:rPr>
    </w:lvl>
  </w:abstractNum>
  <w:abstractNum w:abstractNumId="63">
    <w:nsid w:val="28CEA4BC"/>
    <w:multiLevelType w:val="singleLevel"/>
    <w:tmpl w:val="28CEA4BC"/>
    <w:lvl w:ilvl="0" w:tentative="0">
      <w:start w:val="1"/>
      <w:numFmt w:val="decimal"/>
      <w:suff w:val="nothing"/>
      <w:lvlText w:val="(%1)"/>
      <w:lvlJc w:val="left"/>
      <w:pPr>
        <w:ind w:left="0" w:firstLine="0"/>
      </w:pPr>
      <w:rPr>
        <w:rFonts w:hint="default"/>
      </w:rPr>
    </w:lvl>
  </w:abstractNum>
  <w:abstractNum w:abstractNumId="64">
    <w:nsid w:val="29DD4547"/>
    <w:multiLevelType w:val="singleLevel"/>
    <w:tmpl w:val="29DD4547"/>
    <w:lvl w:ilvl="0" w:tentative="0">
      <w:start w:val="1"/>
      <w:numFmt w:val="decimal"/>
      <w:suff w:val="nothing"/>
      <w:lvlText w:val="(%1)"/>
      <w:lvlJc w:val="left"/>
      <w:pPr>
        <w:ind w:left="0" w:firstLine="0"/>
      </w:pPr>
      <w:rPr>
        <w:rFonts w:hint="default"/>
      </w:rPr>
    </w:lvl>
  </w:abstractNum>
  <w:abstractNum w:abstractNumId="65">
    <w:nsid w:val="2A640370"/>
    <w:multiLevelType w:val="singleLevel"/>
    <w:tmpl w:val="2A640370"/>
    <w:lvl w:ilvl="0" w:tentative="0">
      <w:start w:val="1"/>
      <w:numFmt w:val="decimal"/>
      <w:suff w:val="nothing"/>
      <w:lvlText w:val="(%1)"/>
      <w:lvlJc w:val="left"/>
      <w:pPr>
        <w:ind w:left="0" w:firstLine="0"/>
      </w:pPr>
      <w:rPr>
        <w:rFonts w:hint="default"/>
      </w:rPr>
    </w:lvl>
  </w:abstractNum>
  <w:abstractNum w:abstractNumId="66">
    <w:nsid w:val="2B595EB5"/>
    <w:multiLevelType w:val="singleLevel"/>
    <w:tmpl w:val="2B595EB5"/>
    <w:lvl w:ilvl="0" w:tentative="0">
      <w:start w:val="1"/>
      <w:numFmt w:val="decimal"/>
      <w:suff w:val="nothing"/>
      <w:lvlText w:val="(%1)"/>
      <w:lvlJc w:val="left"/>
      <w:pPr>
        <w:ind w:left="0" w:firstLine="0"/>
      </w:pPr>
      <w:rPr>
        <w:rFonts w:hint="default"/>
      </w:rPr>
    </w:lvl>
  </w:abstractNum>
  <w:abstractNum w:abstractNumId="67">
    <w:nsid w:val="2B68467A"/>
    <w:multiLevelType w:val="singleLevel"/>
    <w:tmpl w:val="2B68467A"/>
    <w:lvl w:ilvl="0" w:tentative="0">
      <w:start w:val="1"/>
      <w:numFmt w:val="lowerLetter"/>
      <w:suff w:val="nothing"/>
      <w:lvlText w:val="%1."/>
      <w:lvlJc w:val="left"/>
      <w:pPr>
        <w:ind w:left="454" w:hanging="454"/>
      </w:pPr>
      <w:rPr>
        <w:rFonts w:hint="default"/>
      </w:rPr>
    </w:lvl>
  </w:abstractNum>
  <w:abstractNum w:abstractNumId="68">
    <w:nsid w:val="2B714D52"/>
    <w:multiLevelType w:val="singleLevel"/>
    <w:tmpl w:val="2B714D52"/>
    <w:lvl w:ilvl="0" w:tentative="0">
      <w:start w:val="1"/>
      <w:numFmt w:val="decimal"/>
      <w:suff w:val="nothing"/>
      <w:lvlText w:val="%1."/>
      <w:lvlJc w:val="left"/>
      <w:pPr>
        <w:ind w:left="420" w:hanging="420"/>
      </w:pPr>
      <w:rPr>
        <w:rFonts w:hint="eastAsia"/>
      </w:rPr>
    </w:lvl>
  </w:abstractNum>
  <w:abstractNum w:abstractNumId="69">
    <w:nsid w:val="2E397112"/>
    <w:multiLevelType w:val="singleLevel"/>
    <w:tmpl w:val="2E397112"/>
    <w:lvl w:ilvl="0" w:tentative="0">
      <w:start w:val="1"/>
      <w:numFmt w:val="decimal"/>
      <w:suff w:val="nothing"/>
      <w:lvlText w:val="%1."/>
      <w:lvlJc w:val="left"/>
      <w:pPr>
        <w:ind w:left="420" w:hanging="420"/>
      </w:pPr>
      <w:rPr>
        <w:rFonts w:hint="eastAsia"/>
      </w:rPr>
    </w:lvl>
  </w:abstractNum>
  <w:abstractNum w:abstractNumId="70">
    <w:nsid w:val="356E9C36"/>
    <w:multiLevelType w:val="singleLevel"/>
    <w:tmpl w:val="356E9C36"/>
    <w:lvl w:ilvl="0" w:tentative="0">
      <w:start w:val="1"/>
      <w:numFmt w:val="lowerLetter"/>
      <w:suff w:val="nothing"/>
      <w:lvlText w:val="%1."/>
      <w:lvlJc w:val="left"/>
      <w:pPr>
        <w:ind w:left="0" w:firstLine="0"/>
      </w:pPr>
      <w:rPr>
        <w:rFonts w:hint="default"/>
      </w:rPr>
    </w:lvl>
  </w:abstractNum>
  <w:abstractNum w:abstractNumId="71">
    <w:nsid w:val="3665099B"/>
    <w:multiLevelType w:val="singleLevel"/>
    <w:tmpl w:val="3665099B"/>
    <w:lvl w:ilvl="0" w:tentative="0">
      <w:start w:val="1"/>
      <w:numFmt w:val="decimal"/>
      <w:suff w:val="nothing"/>
      <w:lvlText w:val="%1."/>
      <w:lvlJc w:val="left"/>
      <w:pPr>
        <w:ind w:left="420" w:hanging="420"/>
      </w:pPr>
      <w:rPr>
        <w:rFonts w:hint="eastAsia"/>
      </w:rPr>
    </w:lvl>
  </w:abstractNum>
  <w:abstractNum w:abstractNumId="72">
    <w:nsid w:val="37DB08A6"/>
    <w:multiLevelType w:val="singleLevel"/>
    <w:tmpl w:val="37DB08A6"/>
    <w:lvl w:ilvl="0" w:tentative="0">
      <w:start w:val="1"/>
      <w:numFmt w:val="decimal"/>
      <w:suff w:val="nothing"/>
      <w:lvlText w:val="(%1)"/>
      <w:lvlJc w:val="left"/>
      <w:pPr>
        <w:ind w:left="0" w:firstLine="0"/>
      </w:pPr>
      <w:rPr>
        <w:rFonts w:hint="default"/>
      </w:rPr>
    </w:lvl>
  </w:abstractNum>
  <w:abstractNum w:abstractNumId="73">
    <w:nsid w:val="3A322FD2"/>
    <w:multiLevelType w:val="singleLevel"/>
    <w:tmpl w:val="3A322FD2"/>
    <w:lvl w:ilvl="0" w:tentative="0">
      <w:start w:val="1"/>
      <w:numFmt w:val="lowerLetter"/>
      <w:suff w:val="space"/>
      <w:lvlText w:val="%1."/>
      <w:lvlJc w:val="left"/>
      <w:pPr>
        <w:ind w:left="454" w:hanging="454"/>
      </w:pPr>
      <w:rPr>
        <w:rFonts w:hint="default"/>
      </w:rPr>
    </w:lvl>
  </w:abstractNum>
  <w:abstractNum w:abstractNumId="74">
    <w:nsid w:val="3A6749D9"/>
    <w:multiLevelType w:val="singleLevel"/>
    <w:tmpl w:val="3A6749D9"/>
    <w:lvl w:ilvl="0" w:tentative="0">
      <w:start w:val="1"/>
      <w:numFmt w:val="decimal"/>
      <w:suff w:val="nothing"/>
      <w:lvlText w:val="(%1)"/>
      <w:lvlJc w:val="left"/>
      <w:pPr>
        <w:ind w:left="454" w:hanging="454"/>
      </w:pPr>
      <w:rPr>
        <w:rFonts w:hint="default"/>
      </w:rPr>
    </w:lvl>
  </w:abstractNum>
  <w:abstractNum w:abstractNumId="75">
    <w:nsid w:val="3AED0A25"/>
    <w:multiLevelType w:val="singleLevel"/>
    <w:tmpl w:val="3AED0A25"/>
    <w:lvl w:ilvl="0" w:tentative="0">
      <w:start w:val="1"/>
      <w:numFmt w:val="decimal"/>
      <w:suff w:val="nothing"/>
      <w:lvlText w:val="(%1)"/>
      <w:lvlJc w:val="left"/>
      <w:pPr>
        <w:ind w:left="454" w:hanging="454"/>
      </w:pPr>
      <w:rPr>
        <w:rFonts w:hint="default"/>
      </w:rPr>
    </w:lvl>
  </w:abstractNum>
  <w:abstractNum w:abstractNumId="76">
    <w:nsid w:val="3AF20FD2"/>
    <w:multiLevelType w:val="singleLevel"/>
    <w:tmpl w:val="3AF20FD2"/>
    <w:lvl w:ilvl="0" w:tentative="0">
      <w:start w:val="1"/>
      <w:numFmt w:val="decimal"/>
      <w:suff w:val="nothing"/>
      <w:lvlText w:val="(%1)"/>
      <w:lvlJc w:val="left"/>
      <w:pPr>
        <w:ind w:left="0" w:firstLine="0"/>
      </w:pPr>
      <w:rPr>
        <w:rFonts w:hint="default"/>
      </w:rPr>
    </w:lvl>
  </w:abstractNum>
  <w:abstractNum w:abstractNumId="77">
    <w:nsid w:val="3C7B71FC"/>
    <w:multiLevelType w:val="singleLevel"/>
    <w:tmpl w:val="3C7B71FC"/>
    <w:lvl w:ilvl="0" w:tentative="0">
      <w:start w:val="1"/>
      <w:numFmt w:val="decimal"/>
      <w:suff w:val="nothing"/>
      <w:lvlText w:val="%1."/>
      <w:lvlJc w:val="left"/>
      <w:pPr>
        <w:ind w:left="420" w:hanging="420"/>
      </w:pPr>
      <w:rPr>
        <w:rFonts w:hint="eastAsia"/>
      </w:rPr>
    </w:lvl>
  </w:abstractNum>
  <w:abstractNum w:abstractNumId="78">
    <w:nsid w:val="3C8AC93C"/>
    <w:multiLevelType w:val="singleLevel"/>
    <w:tmpl w:val="3C8AC93C"/>
    <w:lvl w:ilvl="0" w:tentative="0">
      <w:start w:val="1"/>
      <w:numFmt w:val="decimal"/>
      <w:suff w:val="nothing"/>
      <w:lvlText w:val="(%1)"/>
      <w:lvlJc w:val="left"/>
      <w:pPr>
        <w:ind w:left="0" w:firstLine="0"/>
      </w:pPr>
      <w:rPr>
        <w:rFonts w:hint="default"/>
      </w:rPr>
    </w:lvl>
  </w:abstractNum>
  <w:abstractNum w:abstractNumId="79">
    <w:nsid w:val="3D56FCB4"/>
    <w:multiLevelType w:val="multilevel"/>
    <w:tmpl w:val="3D56FCB4"/>
    <w:lvl w:ilvl="0" w:tentative="0">
      <w:start w:val="1"/>
      <w:numFmt w:val="decimal"/>
      <w:suff w:val="nothing"/>
      <w:lvlText w:val="%1."/>
      <w:lvlJc w:val="left"/>
      <w:pPr>
        <w:ind w:left="0" w:firstLine="0"/>
      </w:pPr>
    </w:lvl>
    <w:lvl w:ilvl="1" w:tentative="0">
      <w:start w:val="1"/>
      <w:numFmt w:val="lowerLetter"/>
      <w:lvlText w:val="%2)"/>
      <w:lvlJc w:val="left"/>
      <w:pPr>
        <w:ind w:left="1364" w:hanging="420"/>
      </w:pPr>
    </w:lvl>
    <w:lvl w:ilvl="2" w:tentative="0">
      <w:start w:val="1"/>
      <w:numFmt w:val="lowerRoman"/>
      <w:lvlText w:val="%3."/>
      <w:lvlJc w:val="right"/>
      <w:pPr>
        <w:ind w:left="1784" w:hanging="420"/>
      </w:pPr>
    </w:lvl>
    <w:lvl w:ilvl="3" w:tentative="0">
      <w:start w:val="1"/>
      <w:numFmt w:val="decimal"/>
      <w:lvlText w:val="%4."/>
      <w:lvlJc w:val="left"/>
      <w:pPr>
        <w:ind w:left="2204" w:hanging="420"/>
      </w:pPr>
    </w:lvl>
    <w:lvl w:ilvl="4" w:tentative="0">
      <w:start w:val="1"/>
      <w:numFmt w:val="lowerLetter"/>
      <w:lvlText w:val="%5)"/>
      <w:lvlJc w:val="left"/>
      <w:pPr>
        <w:ind w:left="2624" w:hanging="420"/>
      </w:pPr>
    </w:lvl>
    <w:lvl w:ilvl="5" w:tentative="0">
      <w:start w:val="1"/>
      <w:numFmt w:val="lowerRoman"/>
      <w:lvlText w:val="%6."/>
      <w:lvlJc w:val="right"/>
      <w:pPr>
        <w:ind w:left="3044" w:hanging="420"/>
      </w:pPr>
    </w:lvl>
    <w:lvl w:ilvl="6" w:tentative="0">
      <w:start w:val="1"/>
      <w:numFmt w:val="decimal"/>
      <w:lvlText w:val="%7."/>
      <w:lvlJc w:val="left"/>
      <w:pPr>
        <w:ind w:left="3464" w:hanging="420"/>
      </w:pPr>
    </w:lvl>
    <w:lvl w:ilvl="7" w:tentative="0">
      <w:start w:val="1"/>
      <w:numFmt w:val="lowerLetter"/>
      <w:lvlText w:val="%8)"/>
      <w:lvlJc w:val="left"/>
      <w:pPr>
        <w:ind w:left="3884" w:hanging="420"/>
      </w:pPr>
    </w:lvl>
    <w:lvl w:ilvl="8" w:tentative="0">
      <w:start w:val="1"/>
      <w:numFmt w:val="lowerRoman"/>
      <w:lvlText w:val="%9."/>
      <w:lvlJc w:val="right"/>
      <w:pPr>
        <w:ind w:left="4304" w:hanging="420"/>
      </w:pPr>
    </w:lvl>
  </w:abstractNum>
  <w:abstractNum w:abstractNumId="80">
    <w:nsid w:val="3E82356E"/>
    <w:multiLevelType w:val="singleLevel"/>
    <w:tmpl w:val="3E82356E"/>
    <w:lvl w:ilvl="0" w:tentative="0">
      <w:start w:val="1"/>
      <w:numFmt w:val="decimal"/>
      <w:suff w:val="nothing"/>
      <w:lvlText w:val="(%1)"/>
      <w:lvlJc w:val="left"/>
      <w:pPr>
        <w:ind w:left="0" w:firstLine="0"/>
      </w:pPr>
      <w:rPr>
        <w:rFonts w:hint="default"/>
      </w:rPr>
    </w:lvl>
  </w:abstractNum>
  <w:abstractNum w:abstractNumId="81">
    <w:nsid w:val="40643C9A"/>
    <w:multiLevelType w:val="singleLevel"/>
    <w:tmpl w:val="40643C9A"/>
    <w:lvl w:ilvl="0" w:tentative="0">
      <w:start w:val="1"/>
      <w:numFmt w:val="decimal"/>
      <w:suff w:val="nothing"/>
      <w:lvlText w:val="%1."/>
      <w:lvlJc w:val="left"/>
      <w:pPr>
        <w:ind w:left="0" w:firstLine="0"/>
      </w:pPr>
      <w:rPr>
        <w:rFonts w:hint="default"/>
      </w:rPr>
    </w:lvl>
  </w:abstractNum>
  <w:abstractNum w:abstractNumId="82">
    <w:nsid w:val="41076478"/>
    <w:multiLevelType w:val="multilevel"/>
    <w:tmpl w:val="41076478"/>
    <w:lvl w:ilvl="0" w:tentative="0">
      <w:start w:val="1"/>
      <w:numFmt w:val="decimal"/>
      <w:suff w:val="nothing"/>
      <w:lvlText w:val="(%1)"/>
      <w:lvlJc w:val="left"/>
      <w:pPr>
        <w:ind w:left="0" w:firstLine="0"/>
      </w:pPr>
      <w:rPr>
        <w:rFonts w:hint="default"/>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83">
    <w:nsid w:val="43DA65E3"/>
    <w:multiLevelType w:val="singleLevel"/>
    <w:tmpl w:val="43DA65E3"/>
    <w:lvl w:ilvl="0" w:tentative="0">
      <w:start w:val="1"/>
      <w:numFmt w:val="decimal"/>
      <w:suff w:val="nothing"/>
      <w:lvlText w:val="%1."/>
      <w:lvlJc w:val="left"/>
      <w:pPr>
        <w:ind w:left="0" w:firstLine="0"/>
      </w:pPr>
      <w:rPr>
        <w:rFonts w:hint="default"/>
      </w:rPr>
    </w:lvl>
  </w:abstractNum>
  <w:abstractNum w:abstractNumId="84">
    <w:nsid w:val="440DAD3C"/>
    <w:multiLevelType w:val="singleLevel"/>
    <w:tmpl w:val="440DAD3C"/>
    <w:lvl w:ilvl="0" w:tentative="0">
      <w:start w:val="1"/>
      <w:numFmt w:val="decimal"/>
      <w:suff w:val="nothing"/>
      <w:lvlText w:val="%1."/>
      <w:lvlJc w:val="left"/>
      <w:pPr>
        <w:ind w:left="0" w:firstLine="0"/>
      </w:pPr>
      <w:rPr>
        <w:rFonts w:hint="default"/>
      </w:rPr>
    </w:lvl>
  </w:abstractNum>
  <w:abstractNum w:abstractNumId="85">
    <w:nsid w:val="459CAA10"/>
    <w:multiLevelType w:val="singleLevel"/>
    <w:tmpl w:val="459CAA10"/>
    <w:lvl w:ilvl="0" w:tentative="0">
      <w:start w:val="1"/>
      <w:numFmt w:val="decimal"/>
      <w:suff w:val="nothing"/>
      <w:lvlText w:val="%1."/>
      <w:lvlJc w:val="left"/>
      <w:pPr>
        <w:ind w:left="0" w:firstLine="0"/>
      </w:pPr>
      <w:rPr>
        <w:rFonts w:hint="default"/>
      </w:rPr>
    </w:lvl>
  </w:abstractNum>
  <w:abstractNum w:abstractNumId="86">
    <w:nsid w:val="472E3AA4"/>
    <w:multiLevelType w:val="singleLevel"/>
    <w:tmpl w:val="472E3AA4"/>
    <w:lvl w:ilvl="0" w:tentative="0">
      <w:start w:val="1"/>
      <w:numFmt w:val="lowerLetter"/>
      <w:suff w:val="nothing"/>
      <w:lvlText w:val="%1."/>
      <w:lvlJc w:val="left"/>
      <w:pPr>
        <w:ind w:left="0" w:firstLine="0"/>
      </w:pPr>
      <w:rPr>
        <w:rFonts w:hint="default"/>
      </w:rPr>
    </w:lvl>
  </w:abstractNum>
  <w:abstractNum w:abstractNumId="87">
    <w:nsid w:val="4A8491CD"/>
    <w:multiLevelType w:val="singleLevel"/>
    <w:tmpl w:val="4A8491CD"/>
    <w:lvl w:ilvl="0" w:tentative="0">
      <w:start w:val="1"/>
      <w:numFmt w:val="decimal"/>
      <w:suff w:val="nothing"/>
      <w:lvlText w:val="(%1)"/>
      <w:lvlJc w:val="left"/>
      <w:pPr>
        <w:ind w:left="0" w:firstLine="0"/>
      </w:pPr>
      <w:rPr>
        <w:rFonts w:hint="default"/>
      </w:rPr>
    </w:lvl>
  </w:abstractNum>
  <w:abstractNum w:abstractNumId="88">
    <w:nsid w:val="4AFE3494"/>
    <w:multiLevelType w:val="singleLevel"/>
    <w:tmpl w:val="4AFE3494"/>
    <w:lvl w:ilvl="0" w:tentative="0">
      <w:start w:val="1"/>
      <w:numFmt w:val="decimal"/>
      <w:suff w:val="nothing"/>
      <w:lvlText w:val="%1."/>
      <w:lvlJc w:val="left"/>
      <w:pPr>
        <w:ind w:left="0" w:firstLine="0"/>
      </w:pPr>
      <w:rPr>
        <w:rFonts w:hint="default"/>
      </w:rPr>
    </w:lvl>
  </w:abstractNum>
  <w:abstractNum w:abstractNumId="89">
    <w:nsid w:val="4E8EB4D4"/>
    <w:multiLevelType w:val="singleLevel"/>
    <w:tmpl w:val="4E8EB4D4"/>
    <w:lvl w:ilvl="0" w:tentative="0">
      <w:start w:val="1"/>
      <w:numFmt w:val="decimal"/>
      <w:suff w:val="nothing"/>
      <w:lvlText w:val="(%1)"/>
      <w:lvlJc w:val="left"/>
      <w:pPr>
        <w:ind w:left="0" w:firstLine="0"/>
      </w:pPr>
      <w:rPr>
        <w:rFonts w:hint="default"/>
      </w:rPr>
    </w:lvl>
  </w:abstractNum>
  <w:abstractNum w:abstractNumId="90">
    <w:nsid w:val="5139AC0A"/>
    <w:multiLevelType w:val="singleLevel"/>
    <w:tmpl w:val="5139AC0A"/>
    <w:lvl w:ilvl="0" w:tentative="0">
      <w:start w:val="1"/>
      <w:numFmt w:val="lowerLetter"/>
      <w:suff w:val="nothing"/>
      <w:lvlText w:val="%1."/>
      <w:lvlJc w:val="left"/>
      <w:pPr>
        <w:ind w:left="0" w:firstLine="0"/>
      </w:pPr>
      <w:rPr>
        <w:rFonts w:hint="default"/>
      </w:rPr>
    </w:lvl>
  </w:abstractNum>
  <w:abstractNum w:abstractNumId="91">
    <w:nsid w:val="516B3E30"/>
    <w:multiLevelType w:val="singleLevel"/>
    <w:tmpl w:val="516B3E30"/>
    <w:lvl w:ilvl="0" w:tentative="0">
      <w:start w:val="1"/>
      <w:numFmt w:val="decimal"/>
      <w:suff w:val="nothing"/>
      <w:lvlText w:val="(%1)"/>
      <w:lvlJc w:val="left"/>
      <w:pPr>
        <w:ind w:left="0" w:firstLine="0"/>
      </w:pPr>
      <w:rPr>
        <w:rFonts w:hint="default"/>
      </w:rPr>
    </w:lvl>
  </w:abstractNum>
  <w:abstractNum w:abstractNumId="92">
    <w:nsid w:val="536D7C2D"/>
    <w:multiLevelType w:val="singleLevel"/>
    <w:tmpl w:val="536D7C2D"/>
    <w:lvl w:ilvl="0" w:tentative="0">
      <w:start w:val="1"/>
      <w:numFmt w:val="decimal"/>
      <w:suff w:val="nothing"/>
      <w:lvlText w:val="%1."/>
      <w:lvlJc w:val="left"/>
      <w:pPr>
        <w:ind w:left="0" w:firstLine="0"/>
      </w:pPr>
      <w:rPr>
        <w:rFonts w:hint="default"/>
      </w:rPr>
    </w:lvl>
  </w:abstractNum>
  <w:abstractNum w:abstractNumId="93">
    <w:nsid w:val="54844AF5"/>
    <w:multiLevelType w:val="singleLevel"/>
    <w:tmpl w:val="54844AF5"/>
    <w:lvl w:ilvl="0" w:tentative="0">
      <w:start w:val="1"/>
      <w:numFmt w:val="decimal"/>
      <w:lvlText w:val="(%1)"/>
      <w:lvlJc w:val="left"/>
      <w:pPr>
        <w:ind w:left="425" w:hanging="425"/>
      </w:pPr>
      <w:rPr>
        <w:rFonts w:hint="default"/>
      </w:rPr>
    </w:lvl>
  </w:abstractNum>
  <w:abstractNum w:abstractNumId="94">
    <w:nsid w:val="557A6E39"/>
    <w:multiLevelType w:val="singleLevel"/>
    <w:tmpl w:val="557A6E39"/>
    <w:lvl w:ilvl="0" w:tentative="0">
      <w:start w:val="1"/>
      <w:numFmt w:val="decimal"/>
      <w:suff w:val="space"/>
      <w:lvlText w:val="表1.%1"/>
      <w:lvlJc w:val="left"/>
      <w:pPr>
        <w:tabs>
          <w:tab w:val="left" w:pos="0"/>
        </w:tabs>
        <w:ind w:left="0" w:firstLine="0"/>
      </w:pPr>
      <w:rPr>
        <w:rFonts w:hint="default" w:ascii="方正仿宋_GBK" w:hAnsi="方正仿宋_GBK" w:eastAsia="方正仿宋_GBK" w:cs="方正仿宋_GBK"/>
      </w:rPr>
    </w:lvl>
  </w:abstractNum>
  <w:abstractNum w:abstractNumId="95">
    <w:nsid w:val="572D220E"/>
    <w:multiLevelType w:val="singleLevel"/>
    <w:tmpl w:val="572D220E"/>
    <w:lvl w:ilvl="0" w:tentative="0">
      <w:start w:val="1"/>
      <w:numFmt w:val="decimal"/>
      <w:suff w:val="nothing"/>
      <w:lvlText w:val="(%1)"/>
      <w:lvlJc w:val="left"/>
      <w:pPr>
        <w:ind w:left="0" w:firstLine="0"/>
      </w:pPr>
      <w:rPr>
        <w:rFonts w:hint="default"/>
      </w:rPr>
    </w:lvl>
  </w:abstractNum>
  <w:abstractNum w:abstractNumId="96">
    <w:nsid w:val="578FED61"/>
    <w:multiLevelType w:val="singleLevel"/>
    <w:tmpl w:val="578FED61"/>
    <w:lvl w:ilvl="0" w:tentative="0">
      <w:start w:val="1"/>
      <w:numFmt w:val="lowerLetter"/>
      <w:suff w:val="space"/>
      <w:lvlText w:val="%1."/>
      <w:lvlJc w:val="left"/>
      <w:pPr>
        <w:ind w:left="454" w:hanging="454"/>
      </w:pPr>
      <w:rPr>
        <w:rFonts w:hint="default"/>
      </w:rPr>
    </w:lvl>
  </w:abstractNum>
  <w:abstractNum w:abstractNumId="97">
    <w:nsid w:val="5818554E"/>
    <w:multiLevelType w:val="singleLevel"/>
    <w:tmpl w:val="5818554E"/>
    <w:lvl w:ilvl="0" w:tentative="0">
      <w:start w:val="1"/>
      <w:numFmt w:val="lowerLetter"/>
      <w:suff w:val="nothing"/>
      <w:lvlText w:val="%1."/>
      <w:lvlJc w:val="left"/>
      <w:pPr>
        <w:ind w:left="0" w:firstLine="0"/>
      </w:pPr>
      <w:rPr>
        <w:rFonts w:hint="default"/>
      </w:rPr>
    </w:lvl>
  </w:abstractNum>
  <w:abstractNum w:abstractNumId="98">
    <w:nsid w:val="5C9C403B"/>
    <w:multiLevelType w:val="singleLevel"/>
    <w:tmpl w:val="5C9C403B"/>
    <w:lvl w:ilvl="0" w:tentative="0">
      <w:start w:val="1"/>
      <w:numFmt w:val="decimal"/>
      <w:suff w:val="nothing"/>
      <w:lvlText w:val="%1."/>
      <w:lvlJc w:val="left"/>
      <w:pPr>
        <w:ind w:left="0" w:firstLine="0"/>
      </w:pPr>
      <w:rPr>
        <w:rFonts w:hint="default"/>
      </w:rPr>
    </w:lvl>
  </w:abstractNum>
  <w:abstractNum w:abstractNumId="99">
    <w:nsid w:val="654F2A55"/>
    <w:multiLevelType w:val="singleLevel"/>
    <w:tmpl w:val="654F2A55"/>
    <w:lvl w:ilvl="0" w:tentative="0">
      <w:start w:val="1"/>
      <w:numFmt w:val="decimal"/>
      <w:suff w:val="nothing"/>
      <w:lvlText w:val="%1."/>
      <w:lvlJc w:val="left"/>
      <w:pPr>
        <w:ind w:left="0" w:firstLine="0"/>
      </w:pPr>
      <w:rPr>
        <w:rFonts w:hint="default"/>
      </w:rPr>
    </w:lvl>
  </w:abstractNum>
  <w:abstractNum w:abstractNumId="100">
    <w:nsid w:val="65CFFAF3"/>
    <w:multiLevelType w:val="singleLevel"/>
    <w:tmpl w:val="65CFFAF3"/>
    <w:lvl w:ilvl="0" w:tentative="0">
      <w:start w:val="1"/>
      <w:numFmt w:val="decimal"/>
      <w:suff w:val="nothing"/>
      <w:lvlText w:val="图6-%1  "/>
      <w:lvlJc w:val="left"/>
      <w:pPr>
        <w:ind w:left="0" w:firstLine="0"/>
      </w:pPr>
      <w:rPr>
        <w:rFonts w:hint="default" w:ascii="方正仿宋_GBK" w:hAnsi="方正仿宋_GBK" w:eastAsia="方正仿宋_GBK" w:cs="方正仿宋_GBK"/>
        <w:color w:val="auto"/>
      </w:rPr>
    </w:lvl>
  </w:abstractNum>
  <w:abstractNum w:abstractNumId="101">
    <w:nsid w:val="676C2626"/>
    <w:multiLevelType w:val="multilevel"/>
    <w:tmpl w:val="676C2626"/>
    <w:lvl w:ilvl="0" w:tentative="0">
      <w:start w:val="1"/>
      <w:numFmt w:val="decimal"/>
      <w:suff w:val="nothing"/>
      <w:lvlText w:val="%1."/>
      <w:lvlJc w:val="left"/>
      <w:pPr>
        <w:ind w:left="0" w:firstLine="0"/>
      </w:pPr>
    </w:lvl>
    <w:lvl w:ilvl="1" w:tentative="0">
      <w:start w:val="1"/>
      <w:numFmt w:val="lowerLetter"/>
      <w:lvlText w:val="%2)"/>
      <w:lvlJc w:val="left"/>
      <w:pPr>
        <w:ind w:left="1364" w:hanging="420"/>
      </w:pPr>
    </w:lvl>
    <w:lvl w:ilvl="2" w:tentative="0">
      <w:start w:val="1"/>
      <w:numFmt w:val="lowerRoman"/>
      <w:lvlText w:val="%3."/>
      <w:lvlJc w:val="right"/>
      <w:pPr>
        <w:ind w:left="1784" w:hanging="420"/>
      </w:pPr>
    </w:lvl>
    <w:lvl w:ilvl="3" w:tentative="0">
      <w:start w:val="1"/>
      <w:numFmt w:val="decimal"/>
      <w:lvlText w:val="%4."/>
      <w:lvlJc w:val="left"/>
      <w:pPr>
        <w:ind w:left="2204" w:hanging="420"/>
      </w:pPr>
    </w:lvl>
    <w:lvl w:ilvl="4" w:tentative="0">
      <w:start w:val="1"/>
      <w:numFmt w:val="lowerLetter"/>
      <w:lvlText w:val="%5)"/>
      <w:lvlJc w:val="left"/>
      <w:pPr>
        <w:ind w:left="2624" w:hanging="420"/>
      </w:pPr>
    </w:lvl>
    <w:lvl w:ilvl="5" w:tentative="0">
      <w:start w:val="1"/>
      <w:numFmt w:val="lowerRoman"/>
      <w:lvlText w:val="%6."/>
      <w:lvlJc w:val="right"/>
      <w:pPr>
        <w:ind w:left="3044" w:hanging="420"/>
      </w:pPr>
    </w:lvl>
    <w:lvl w:ilvl="6" w:tentative="0">
      <w:start w:val="1"/>
      <w:numFmt w:val="decimal"/>
      <w:lvlText w:val="%7."/>
      <w:lvlJc w:val="left"/>
      <w:pPr>
        <w:ind w:left="3464" w:hanging="420"/>
      </w:pPr>
    </w:lvl>
    <w:lvl w:ilvl="7" w:tentative="0">
      <w:start w:val="1"/>
      <w:numFmt w:val="lowerLetter"/>
      <w:lvlText w:val="%8)"/>
      <w:lvlJc w:val="left"/>
      <w:pPr>
        <w:ind w:left="3884" w:hanging="420"/>
      </w:pPr>
    </w:lvl>
    <w:lvl w:ilvl="8" w:tentative="0">
      <w:start w:val="1"/>
      <w:numFmt w:val="lowerRoman"/>
      <w:lvlText w:val="%9."/>
      <w:lvlJc w:val="right"/>
      <w:pPr>
        <w:ind w:left="4304" w:hanging="420"/>
      </w:pPr>
    </w:lvl>
  </w:abstractNum>
  <w:abstractNum w:abstractNumId="102">
    <w:nsid w:val="6AA18A8C"/>
    <w:multiLevelType w:val="singleLevel"/>
    <w:tmpl w:val="6AA18A8C"/>
    <w:lvl w:ilvl="0" w:tentative="0">
      <w:start w:val="1"/>
      <w:numFmt w:val="lowerLetter"/>
      <w:suff w:val="space"/>
      <w:lvlText w:val="%1."/>
      <w:lvlJc w:val="left"/>
      <w:pPr>
        <w:ind w:left="454" w:hanging="454"/>
      </w:pPr>
      <w:rPr>
        <w:rFonts w:hint="default"/>
      </w:rPr>
    </w:lvl>
  </w:abstractNum>
  <w:abstractNum w:abstractNumId="103">
    <w:nsid w:val="6B35FAED"/>
    <w:multiLevelType w:val="singleLevel"/>
    <w:tmpl w:val="6B35FAED"/>
    <w:lvl w:ilvl="0" w:tentative="0">
      <w:start w:val="1"/>
      <w:numFmt w:val="decimal"/>
      <w:suff w:val="nothing"/>
      <w:lvlText w:val="%1."/>
      <w:lvlJc w:val="left"/>
      <w:pPr>
        <w:ind w:left="0" w:firstLine="0"/>
      </w:pPr>
      <w:rPr>
        <w:rFonts w:hint="default"/>
      </w:rPr>
    </w:lvl>
  </w:abstractNum>
  <w:abstractNum w:abstractNumId="104">
    <w:nsid w:val="6D907215"/>
    <w:multiLevelType w:val="singleLevel"/>
    <w:tmpl w:val="6D907215"/>
    <w:lvl w:ilvl="0" w:tentative="0">
      <w:start w:val="1"/>
      <w:numFmt w:val="decimal"/>
      <w:suff w:val="nothing"/>
      <w:lvlText w:val="%1."/>
      <w:lvlJc w:val="left"/>
      <w:pPr>
        <w:ind w:left="420" w:hanging="420"/>
      </w:pPr>
      <w:rPr>
        <w:rFonts w:hint="eastAsia"/>
      </w:rPr>
    </w:lvl>
  </w:abstractNum>
  <w:abstractNum w:abstractNumId="105">
    <w:nsid w:val="6E5921D7"/>
    <w:multiLevelType w:val="multilevel"/>
    <w:tmpl w:val="6E5921D7"/>
    <w:lvl w:ilvl="0" w:tentative="0">
      <w:start w:val="1"/>
      <w:numFmt w:val="decimal"/>
      <w:suff w:val="space"/>
      <w:lvlText w:val="(%1)"/>
      <w:lvlJc w:val="left"/>
      <w:pPr>
        <w:ind w:left="0" w:firstLine="0"/>
      </w:pPr>
      <w:rPr>
        <w:rFonts w:hint="default"/>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06">
    <w:nsid w:val="7378C245"/>
    <w:multiLevelType w:val="singleLevel"/>
    <w:tmpl w:val="7378C245"/>
    <w:lvl w:ilvl="0" w:tentative="0">
      <w:start w:val="1"/>
      <w:numFmt w:val="decimal"/>
      <w:suff w:val="nothing"/>
      <w:lvlText w:val="(%1)"/>
      <w:lvlJc w:val="left"/>
      <w:pPr>
        <w:ind w:left="454" w:hanging="454"/>
      </w:pPr>
      <w:rPr>
        <w:rFonts w:hint="default"/>
      </w:rPr>
    </w:lvl>
  </w:abstractNum>
  <w:abstractNum w:abstractNumId="107">
    <w:nsid w:val="738D84C9"/>
    <w:multiLevelType w:val="singleLevel"/>
    <w:tmpl w:val="738D84C9"/>
    <w:lvl w:ilvl="0" w:tentative="0">
      <w:start w:val="1"/>
      <w:numFmt w:val="decimal"/>
      <w:suff w:val="nothing"/>
      <w:lvlText w:val="(%1)"/>
      <w:lvlJc w:val="left"/>
      <w:pPr>
        <w:ind w:left="454" w:hanging="454"/>
      </w:pPr>
      <w:rPr>
        <w:rFonts w:hint="default"/>
      </w:rPr>
    </w:lvl>
  </w:abstractNum>
  <w:abstractNum w:abstractNumId="108">
    <w:nsid w:val="74F36D9E"/>
    <w:multiLevelType w:val="singleLevel"/>
    <w:tmpl w:val="74F36D9E"/>
    <w:lvl w:ilvl="0" w:tentative="0">
      <w:start w:val="1"/>
      <w:numFmt w:val="decimal"/>
      <w:suff w:val="nothing"/>
      <w:lvlText w:val="%1."/>
      <w:lvlJc w:val="left"/>
      <w:pPr>
        <w:ind w:left="420" w:hanging="420"/>
      </w:pPr>
      <w:rPr>
        <w:rFonts w:hint="eastAsia"/>
      </w:rPr>
    </w:lvl>
  </w:abstractNum>
  <w:abstractNum w:abstractNumId="109">
    <w:nsid w:val="76147CE5"/>
    <w:multiLevelType w:val="singleLevel"/>
    <w:tmpl w:val="76147CE5"/>
    <w:lvl w:ilvl="0" w:tentative="0">
      <w:start w:val="1"/>
      <w:numFmt w:val="decimal"/>
      <w:suff w:val="nothing"/>
      <w:lvlText w:val="(%1)"/>
      <w:lvlJc w:val="left"/>
      <w:pPr>
        <w:ind w:left="0" w:firstLine="0"/>
      </w:pPr>
      <w:rPr>
        <w:rFonts w:hint="default"/>
      </w:rPr>
    </w:lvl>
  </w:abstractNum>
  <w:abstractNum w:abstractNumId="110">
    <w:nsid w:val="7B91AC15"/>
    <w:multiLevelType w:val="singleLevel"/>
    <w:tmpl w:val="7B91AC15"/>
    <w:lvl w:ilvl="0" w:tentative="0">
      <w:start w:val="1"/>
      <w:numFmt w:val="decimal"/>
      <w:suff w:val="nothing"/>
      <w:lvlText w:val="(%1)"/>
      <w:lvlJc w:val="left"/>
      <w:pPr>
        <w:ind w:left="0" w:firstLine="0"/>
      </w:pPr>
      <w:rPr>
        <w:rFonts w:hint="default"/>
      </w:rPr>
    </w:lvl>
  </w:abstractNum>
  <w:abstractNum w:abstractNumId="111">
    <w:nsid w:val="7BB98A87"/>
    <w:multiLevelType w:val="multilevel"/>
    <w:tmpl w:val="7BB98A87"/>
    <w:lvl w:ilvl="0" w:tentative="0">
      <w:start w:val="1"/>
      <w:numFmt w:val="decimal"/>
      <w:suff w:val="nothing"/>
      <w:lvlText w:val="(%1)"/>
      <w:lvlJc w:val="left"/>
      <w:pPr>
        <w:ind w:left="0" w:firstLine="0"/>
      </w:pPr>
      <w:rPr>
        <w:rFonts w:hint="default"/>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12">
    <w:nsid w:val="7CB50446"/>
    <w:multiLevelType w:val="singleLevel"/>
    <w:tmpl w:val="7CB50446"/>
    <w:lvl w:ilvl="0" w:tentative="0">
      <w:start w:val="1"/>
      <w:numFmt w:val="decimal"/>
      <w:suff w:val="nothing"/>
      <w:lvlText w:val="(%1)"/>
      <w:lvlJc w:val="left"/>
      <w:pPr>
        <w:ind w:left="0" w:firstLine="0"/>
      </w:pPr>
      <w:rPr>
        <w:rFonts w:hint="default"/>
      </w:rPr>
    </w:lvl>
  </w:abstractNum>
  <w:abstractNum w:abstractNumId="113">
    <w:nsid w:val="7F0F2E8C"/>
    <w:multiLevelType w:val="singleLevel"/>
    <w:tmpl w:val="7F0F2E8C"/>
    <w:lvl w:ilvl="0" w:tentative="0">
      <w:start w:val="1"/>
      <w:numFmt w:val="lowerLetter"/>
      <w:suff w:val="nothing"/>
      <w:lvlText w:val="%1."/>
      <w:lvlJc w:val="left"/>
      <w:pPr>
        <w:ind w:left="0" w:firstLine="0"/>
      </w:pPr>
      <w:rPr>
        <w:rFonts w:hint="default"/>
      </w:rPr>
    </w:lvl>
  </w:abstractNum>
  <w:num w:numId="1">
    <w:abstractNumId w:val="53"/>
  </w:num>
  <w:num w:numId="2">
    <w:abstractNumId w:val="94"/>
  </w:num>
  <w:num w:numId="3">
    <w:abstractNumId w:val="1"/>
  </w:num>
  <w:num w:numId="4">
    <w:abstractNumId w:val="24"/>
  </w:num>
  <w:num w:numId="5">
    <w:abstractNumId w:val="14"/>
  </w:num>
  <w:num w:numId="6">
    <w:abstractNumId w:val="105"/>
  </w:num>
  <w:num w:numId="7">
    <w:abstractNumId w:val="15"/>
  </w:num>
  <w:num w:numId="8">
    <w:abstractNumId w:val="35"/>
  </w:num>
  <w:num w:numId="9">
    <w:abstractNumId w:val="45"/>
  </w:num>
  <w:num w:numId="10">
    <w:abstractNumId w:val="100"/>
  </w:num>
  <w:num w:numId="11">
    <w:abstractNumId w:val="46"/>
  </w:num>
  <w:num w:numId="12">
    <w:abstractNumId w:val="84"/>
  </w:num>
  <w:num w:numId="13">
    <w:abstractNumId w:val="42"/>
  </w:num>
  <w:num w:numId="14">
    <w:abstractNumId w:val="20"/>
  </w:num>
  <w:num w:numId="15">
    <w:abstractNumId w:val="26"/>
  </w:num>
  <w:num w:numId="16">
    <w:abstractNumId w:val="103"/>
  </w:num>
  <w:num w:numId="17">
    <w:abstractNumId w:val="93"/>
  </w:num>
  <w:num w:numId="18">
    <w:abstractNumId w:val="60"/>
  </w:num>
  <w:num w:numId="19">
    <w:abstractNumId w:val="81"/>
  </w:num>
  <w:num w:numId="20">
    <w:abstractNumId w:val="7"/>
  </w:num>
  <w:num w:numId="21">
    <w:abstractNumId w:val="4"/>
  </w:num>
  <w:num w:numId="22">
    <w:abstractNumId w:val="13"/>
  </w:num>
  <w:num w:numId="23">
    <w:abstractNumId w:val="57"/>
  </w:num>
  <w:num w:numId="24">
    <w:abstractNumId w:val="50"/>
  </w:num>
  <w:num w:numId="25">
    <w:abstractNumId w:val="99"/>
  </w:num>
  <w:num w:numId="26">
    <w:abstractNumId w:val="112"/>
  </w:num>
  <w:num w:numId="27">
    <w:abstractNumId w:val="111"/>
  </w:num>
  <w:num w:numId="28">
    <w:abstractNumId w:val="30"/>
  </w:num>
  <w:num w:numId="29">
    <w:abstractNumId w:val="87"/>
  </w:num>
  <w:num w:numId="30">
    <w:abstractNumId w:val="44"/>
  </w:num>
  <w:num w:numId="31">
    <w:abstractNumId w:val="38"/>
  </w:num>
  <w:num w:numId="32">
    <w:abstractNumId w:val="25"/>
  </w:num>
  <w:num w:numId="33">
    <w:abstractNumId w:val="23"/>
  </w:num>
  <w:num w:numId="34">
    <w:abstractNumId w:val="21"/>
  </w:num>
  <w:num w:numId="35">
    <w:abstractNumId w:val="91"/>
  </w:num>
  <w:num w:numId="36">
    <w:abstractNumId w:val="2"/>
  </w:num>
  <w:num w:numId="37">
    <w:abstractNumId w:val="98"/>
  </w:num>
  <w:num w:numId="38">
    <w:abstractNumId w:val="92"/>
  </w:num>
  <w:num w:numId="39">
    <w:abstractNumId w:val="101"/>
  </w:num>
  <w:num w:numId="40">
    <w:abstractNumId w:val="79"/>
  </w:num>
  <w:num w:numId="41">
    <w:abstractNumId w:val="58"/>
  </w:num>
  <w:num w:numId="42">
    <w:abstractNumId w:val="39"/>
  </w:num>
  <w:num w:numId="43">
    <w:abstractNumId w:val="18"/>
  </w:num>
  <w:num w:numId="44">
    <w:abstractNumId w:val="76"/>
  </w:num>
  <w:num w:numId="45">
    <w:abstractNumId w:val="64"/>
  </w:num>
  <w:num w:numId="46">
    <w:abstractNumId w:val="110"/>
  </w:num>
  <w:num w:numId="47">
    <w:abstractNumId w:val="78"/>
  </w:num>
  <w:num w:numId="48">
    <w:abstractNumId w:val="55"/>
  </w:num>
  <w:num w:numId="49">
    <w:abstractNumId w:val="80"/>
  </w:num>
  <w:num w:numId="50">
    <w:abstractNumId w:val="77"/>
  </w:num>
  <w:num w:numId="51">
    <w:abstractNumId w:val="71"/>
  </w:num>
  <w:num w:numId="52">
    <w:abstractNumId w:val="104"/>
  </w:num>
  <w:num w:numId="53">
    <w:abstractNumId w:val="108"/>
  </w:num>
  <w:num w:numId="54">
    <w:abstractNumId w:val="95"/>
  </w:num>
  <w:num w:numId="55">
    <w:abstractNumId w:val="65"/>
  </w:num>
  <w:num w:numId="56">
    <w:abstractNumId w:val="51"/>
  </w:num>
  <w:num w:numId="57">
    <w:abstractNumId w:val="72"/>
  </w:num>
  <w:num w:numId="58">
    <w:abstractNumId w:val="48"/>
  </w:num>
  <w:num w:numId="59">
    <w:abstractNumId w:val="59"/>
  </w:num>
  <w:num w:numId="60">
    <w:abstractNumId w:val="69"/>
  </w:num>
  <w:num w:numId="61">
    <w:abstractNumId w:val="66"/>
  </w:num>
  <w:num w:numId="62">
    <w:abstractNumId w:val="22"/>
  </w:num>
  <w:num w:numId="63">
    <w:abstractNumId w:val="89"/>
  </w:num>
  <w:num w:numId="64">
    <w:abstractNumId w:val="68"/>
  </w:num>
  <w:num w:numId="65">
    <w:abstractNumId w:val="63"/>
  </w:num>
  <w:num w:numId="66">
    <w:abstractNumId w:val="85"/>
  </w:num>
  <w:num w:numId="67">
    <w:abstractNumId w:val="75"/>
  </w:num>
  <w:num w:numId="68">
    <w:abstractNumId w:val="43"/>
  </w:num>
  <w:num w:numId="69">
    <w:abstractNumId w:val="19"/>
  </w:num>
  <w:num w:numId="70">
    <w:abstractNumId w:val="27"/>
  </w:num>
  <w:num w:numId="71">
    <w:abstractNumId w:val="31"/>
  </w:num>
  <w:num w:numId="72">
    <w:abstractNumId w:val="74"/>
  </w:num>
  <w:num w:numId="73">
    <w:abstractNumId w:val="56"/>
  </w:num>
  <w:num w:numId="74">
    <w:abstractNumId w:val="12"/>
  </w:num>
  <w:num w:numId="75">
    <w:abstractNumId w:val="9"/>
  </w:num>
  <w:num w:numId="76">
    <w:abstractNumId w:val="109"/>
  </w:num>
  <w:num w:numId="77">
    <w:abstractNumId w:val="67"/>
  </w:num>
  <w:num w:numId="78">
    <w:abstractNumId w:val="73"/>
  </w:num>
  <w:num w:numId="79">
    <w:abstractNumId w:val="102"/>
  </w:num>
  <w:num w:numId="80">
    <w:abstractNumId w:val="40"/>
  </w:num>
  <w:num w:numId="81">
    <w:abstractNumId w:val="34"/>
  </w:num>
  <w:num w:numId="82">
    <w:abstractNumId w:val="37"/>
  </w:num>
  <w:num w:numId="83">
    <w:abstractNumId w:val="17"/>
  </w:num>
  <w:num w:numId="84">
    <w:abstractNumId w:val="49"/>
  </w:num>
  <w:num w:numId="85">
    <w:abstractNumId w:val="96"/>
  </w:num>
  <w:num w:numId="86">
    <w:abstractNumId w:val="106"/>
  </w:num>
  <w:num w:numId="87">
    <w:abstractNumId w:val="11"/>
  </w:num>
  <w:num w:numId="88">
    <w:abstractNumId w:val="29"/>
  </w:num>
  <w:num w:numId="89">
    <w:abstractNumId w:val="6"/>
  </w:num>
  <w:num w:numId="90">
    <w:abstractNumId w:val="16"/>
  </w:num>
  <w:num w:numId="91">
    <w:abstractNumId w:val="70"/>
  </w:num>
  <w:num w:numId="92">
    <w:abstractNumId w:val="54"/>
  </w:num>
  <w:num w:numId="93">
    <w:abstractNumId w:val="32"/>
  </w:num>
  <w:num w:numId="94">
    <w:abstractNumId w:val="36"/>
  </w:num>
  <w:num w:numId="95">
    <w:abstractNumId w:val="41"/>
  </w:num>
  <w:num w:numId="96">
    <w:abstractNumId w:val="97"/>
  </w:num>
  <w:num w:numId="97">
    <w:abstractNumId w:val="0"/>
  </w:num>
  <w:num w:numId="98">
    <w:abstractNumId w:val="52"/>
  </w:num>
  <w:num w:numId="99">
    <w:abstractNumId w:val="10"/>
  </w:num>
  <w:num w:numId="100">
    <w:abstractNumId w:val="86"/>
  </w:num>
  <w:num w:numId="101">
    <w:abstractNumId w:val="8"/>
  </w:num>
  <w:num w:numId="102">
    <w:abstractNumId w:val="113"/>
  </w:num>
  <w:num w:numId="103">
    <w:abstractNumId w:val="28"/>
  </w:num>
  <w:num w:numId="104">
    <w:abstractNumId w:val="90"/>
  </w:num>
  <w:num w:numId="105">
    <w:abstractNumId w:val="83"/>
  </w:num>
  <w:num w:numId="106">
    <w:abstractNumId w:val="61"/>
  </w:num>
  <w:num w:numId="107">
    <w:abstractNumId w:val="47"/>
  </w:num>
  <w:num w:numId="108">
    <w:abstractNumId w:val="88"/>
  </w:num>
  <w:num w:numId="109">
    <w:abstractNumId w:val="33"/>
  </w:num>
  <w:num w:numId="110">
    <w:abstractNumId w:val="82"/>
  </w:num>
  <w:num w:numId="111">
    <w:abstractNumId w:val="5"/>
  </w:num>
  <w:num w:numId="112">
    <w:abstractNumId w:val="62"/>
  </w:num>
  <w:num w:numId="113">
    <w:abstractNumId w:val="107"/>
  </w:num>
  <w:num w:numId="1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BCC242E"/>
    <w:rsid w:val="00240FF7"/>
    <w:rsid w:val="003C1176"/>
    <w:rsid w:val="00B942C1"/>
    <w:rsid w:val="00DF26BA"/>
    <w:rsid w:val="00FC53E6"/>
    <w:rsid w:val="011331E4"/>
    <w:rsid w:val="01691805"/>
    <w:rsid w:val="01EE6AFA"/>
    <w:rsid w:val="03233580"/>
    <w:rsid w:val="03730611"/>
    <w:rsid w:val="0397280B"/>
    <w:rsid w:val="054A63D9"/>
    <w:rsid w:val="05567FAE"/>
    <w:rsid w:val="05925AB5"/>
    <w:rsid w:val="06342376"/>
    <w:rsid w:val="064A3D8A"/>
    <w:rsid w:val="06BD7763"/>
    <w:rsid w:val="06D94C47"/>
    <w:rsid w:val="070E2A12"/>
    <w:rsid w:val="07136CDD"/>
    <w:rsid w:val="07502FE3"/>
    <w:rsid w:val="07C17762"/>
    <w:rsid w:val="082A276B"/>
    <w:rsid w:val="0841766B"/>
    <w:rsid w:val="0848195C"/>
    <w:rsid w:val="084A5EE0"/>
    <w:rsid w:val="09340073"/>
    <w:rsid w:val="09962522"/>
    <w:rsid w:val="09A04D26"/>
    <w:rsid w:val="09F726A0"/>
    <w:rsid w:val="0A462CF3"/>
    <w:rsid w:val="0A633A55"/>
    <w:rsid w:val="0AC45ADD"/>
    <w:rsid w:val="0AC534C7"/>
    <w:rsid w:val="0ACF4431"/>
    <w:rsid w:val="0B417B49"/>
    <w:rsid w:val="0BAB0E55"/>
    <w:rsid w:val="0C17307A"/>
    <w:rsid w:val="0C2F1309"/>
    <w:rsid w:val="0CDA50D5"/>
    <w:rsid w:val="0CE70331"/>
    <w:rsid w:val="0D056926"/>
    <w:rsid w:val="0D083DB3"/>
    <w:rsid w:val="0D327C3B"/>
    <w:rsid w:val="0D7234E7"/>
    <w:rsid w:val="0DD06827"/>
    <w:rsid w:val="0DED06DC"/>
    <w:rsid w:val="0ECA4A69"/>
    <w:rsid w:val="0EFC1814"/>
    <w:rsid w:val="0EFF6371"/>
    <w:rsid w:val="0F487532"/>
    <w:rsid w:val="0F611AEA"/>
    <w:rsid w:val="0F883FF1"/>
    <w:rsid w:val="0FF23985"/>
    <w:rsid w:val="100B0021"/>
    <w:rsid w:val="109B4BF4"/>
    <w:rsid w:val="10B641D9"/>
    <w:rsid w:val="111E33EC"/>
    <w:rsid w:val="114F228F"/>
    <w:rsid w:val="11827920"/>
    <w:rsid w:val="11987CAD"/>
    <w:rsid w:val="119B6617"/>
    <w:rsid w:val="11BD1B99"/>
    <w:rsid w:val="11EC2032"/>
    <w:rsid w:val="1343671C"/>
    <w:rsid w:val="139A5DD0"/>
    <w:rsid w:val="144843A3"/>
    <w:rsid w:val="152D2617"/>
    <w:rsid w:val="15E60974"/>
    <w:rsid w:val="165E1DC5"/>
    <w:rsid w:val="167C3E46"/>
    <w:rsid w:val="167F616D"/>
    <w:rsid w:val="16F2774A"/>
    <w:rsid w:val="17011BDC"/>
    <w:rsid w:val="17460690"/>
    <w:rsid w:val="17510712"/>
    <w:rsid w:val="1782680D"/>
    <w:rsid w:val="17A07F6B"/>
    <w:rsid w:val="17A1632E"/>
    <w:rsid w:val="17D04665"/>
    <w:rsid w:val="18485D6D"/>
    <w:rsid w:val="198A20ED"/>
    <w:rsid w:val="19DC748B"/>
    <w:rsid w:val="1AB2019A"/>
    <w:rsid w:val="1AEC2E4C"/>
    <w:rsid w:val="1B9010D8"/>
    <w:rsid w:val="1B9F7CEA"/>
    <w:rsid w:val="1BCC242E"/>
    <w:rsid w:val="1BF8532D"/>
    <w:rsid w:val="1C4F7E84"/>
    <w:rsid w:val="1CE10F96"/>
    <w:rsid w:val="1D4D4756"/>
    <w:rsid w:val="1D570526"/>
    <w:rsid w:val="1D703038"/>
    <w:rsid w:val="1D943421"/>
    <w:rsid w:val="1E2F1EB6"/>
    <w:rsid w:val="1E691960"/>
    <w:rsid w:val="1EB96DED"/>
    <w:rsid w:val="1ECF5155"/>
    <w:rsid w:val="1ED11DAB"/>
    <w:rsid w:val="1EF31605"/>
    <w:rsid w:val="1FCD4987"/>
    <w:rsid w:val="1FEC3D1B"/>
    <w:rsid w:val="1FF3405B"/>
    <w:rsid w:val="200815CA"/>
    <w:rsid w:val="2019217E"/>
    <w:rsid w:val="20546151"/>
    <w:rsid w:val="20E440EA"/>
    <w:rsid w:val="21013D97"/>
    <w:rsid w:val="221A7C25"/>
    <w:rsid w:val="229E2121"/>
    <w:rsid w:val="22CC0B05"/>
    <w:rsid w:val="24112145"/>
    <w:rsid w:val="241E34A7"/>
    <w:rsid w:val="24336465"/>
    <w:rsid w:val="25274D83"/>
    <w:rsid w:val="25DE1EF0"/>
    <w:rsid w:val="25FC3891"/>
    <w:rsid w:val="26877F59"/>
    <w:rsid w:val="279E031D"/>
    <w:rsid w:val="286E7F69"/>
    <w:rsid w:val="289F65F9"/>
    <w:rsid w:val="28F236D7"/>
    <w:rsid w:val="28F37BFF"/>
    <w:rsid w:val="28F60651"/>
    <w:rsid w:val="29150EFA"/>
    <w:rsid w:val="29310DC4"/>
    <w:rsid w:val="29523F4E"/>
    <w:rsid w:val="29E10A26"/>
    <w:rsid w:val="2A112402"/>
    <w:rsid w:val="2A135842"/>
    <w:rsid w:val="2A2E642F"/>
    <w:rsid w:val="2A53655B"/>
    <w:rsid w:val="2B053352"/>
    <w:rsid w:val="2BA650D1"/>
    <w:rsid w:val="2C6110E4"/>
    <w:rsid w:val="2C8D72BA"/>
    <w:rsid w:val="2CA97D6B"/>
    <w:rsid w:val="2D190BEC"/>
    <w:rsid w:val="2D7B5C2A"/>
    <w:rsid w:val="2DEC1625"/>
    <w:rsid w:val="2ED73A4B"/>
    <w:rsid w:val="2EEB0DEC"/>
    <w:rsid w:val="2F294400"/>
    <w:rsid w:val="2F55034C"/>
    <w:rsid w:val="303C486A"/>
    <w:rsid w:val="303E4DF1"/>
    <w:rsid w:val="304B7C3C"/>
    <w:rsid w:val="30B80105"/>
    <w:rsid w:val="312A68DA"/>
    <w:rsid w:val="319421A4"/>
    <w:rsid w:val="31B84350"/>
    <w:rsid w:val="33077E3E"/>
    <w:rsid w:val="335A3CB3"/>
    <w:rsid w:val="337555E7"/>
    <w:rsid w:val="33FF4393"/>
    <w:rsid w:val="34430333"/>
    <w:rsid w:val="34722D53"/>
    <w:rsid w:val="353B6AB4"/>
    <w:rsid w:val="357D7BD2"/>
    <w:rsid w:val="358A2612"/>
    <w:rsid w:val="35AD28B9"/>
    <w:rsid w:val="360D1CCC"/>
    <w:rsid w:val="36741509"/>
    <w:rsid w:val="36874EDB"/>
    <w:rsid w:val="37346EA5"/>
    <w:rsid w:val="37735289"/>
    <w:rsid w:val="381114BE"/>
    <w:rsid w:val="38307CC2"/>
    <w:rsid w:val="38612766"/>
    <w:rsid w:val="38687E5A"/>
    <w:rsid w:val="399624F4"/>
    <w:rsid w:val="399E21A5"/>
    <w:rsid w:val="3A2B57AD"/>
    <w:rsid w:val="3A52436F"/>
    <w:rsid w:val="3A804E4F"/>
    <w:rsid w:val="3AF53FC4"/>
    <w:rsid w:val="3BAA7775"/>
    <w:rsid w:val="3CB24E29"/>
    <w:rsid w:val="3D2557BE"/>
    <w:rsid w:val="3E0518D9"/>
    <w:rsid w:val="3E3264FF"/>
    <w:rsid w:val="3E3B79AE"/>
    <w:rsid w:val="3F260793"/>
    <w:rsid w:val="3F2F08E4"/>
    <w:rsid w:val="3F310DB9"/>
    <w:rsid w:val="3FAC4570"/>
    <w:rsid w:val="40317633"/>
    <w:rsid w:val="40D60C90"/>
    <w:rsid w:val="414040E5"/>
    <w:rsid w:val="426B6CF6"/>
    <w:rsid w:val="42AC72CC"/>
    <w:rsid w:val="42B641AC"/>
    <w:rsid w:val="43312455"/>
    <w:rsid w:val="433B0173"/>
    <w:rsid w:val="43934CA6"/>
    <w:rsid w:val="43B86081"/>
    <w:rsid w:val="44133768"/>
    <w:rsid w:val="447A2699"/>
    <w:rsid w:val="44E27031"/>
    <w:rsid w:val="451F7A83"/>
    <w:rsid w:val="45277B19"/>
    <w:rsid w:val="45BD720E"/>
    <w:rsid w:val="45CC401F"/>
    <w:rsid w:val="45E352BB"/>
    <w:rsid w:val="46071F5E"/>
    <w:rsid w:val="463662B6"/>
    <w:rsid w:val="46FF6C4C"/>
    <w:rsid w:val="470517B4"/>
    <w:rsid w:val="470B7216"/>
    <w:rsid w:val="47704FC4"/>
    <w:rsid w:val="47AF2DE4"/>
    <w:rsid w:val="47B00A35"/>
    <w:rsid w:val="482E3F86"/>
    <w:rsid w:val="49B23FFF"/>
    <w:rsid w:val="4A291198"/>
    <w:rsid w:val="4A702778"/>
    <w:rsid w:val="4B0A2E92"/>
    <w:rsid w:val="4BBA30E3"/>
    <w:rsid w:val="4BEA7DE8"/>
    <w:rsid w:val="4C406723"/>
    <w:rsid w:val="4CE665DA"/>
    <w:rsid w:val="4D6F237C"/>
    <w:rsid w:val="4D7537DF"/>
    <w:rsid w:val="4DA5242B"/>
    <w:rsid w:val="4DC47140"/>
    <w:rsid w:val="4E4114D7"/>
    <w:rsid w:val="4E621B28"/>
    <w:rsid w:val="4F2B5DB1"/>
    <w:rsid w:val="4F3212AB"/>
    <w:rsid w:val="4F464BA1"/>
    <w:rsid w:val="4F7C05D2"/>
    <w:rsid w:val="4F8441D6"/>
    <w:rsid w:val="4F907BDB"/>
    <w:rsid w:val="4FDD7963"/>
    <w:rsid w:val="50955B9F"/>
    <w:rsid w:val="50A15E18"/>
    <w:rsid w:val="52942E6D"/>
    <w:rsid w:val="52D81A74"/>
    <w:rsid w:val="530B7995"/>
    <w:rsid w:val="53373C83"/>
    <w:rsid w:val="533F33C6"/>
    <w:rsid w:val="5367617E"/>
    <w:rsid w:val="53AA500D"/>
    <w:rsid w:val="54640622"/>
    <w:rsid w:val="549F62EF"/>
    <w:rsid w:val="55BC0DB5"/>
    <w:rsid w:val="55D62B82"/>
    <w:rsid w:val="56072654"/>
    <w:rsid w:val="56694D75"/>
    <w:rsid w:val="582814CC"/>
    <w:rsid w:val="5A13600B"/>
    <w:rsid w:val="5A4E1ABC"/>
    <w:rsid w:val="5B7D33FC"/>
    <w:rsid w:val="5CD1121E"/>
    <w:rsid w:val="5D1B0670"/>
    <w:rsid w:val="5D4930EF"/>
    <w:rsid w:val="5D5235DF"/>
    <w:rsid w:val="5DEC7D0F"/>
    <w:rsid w:val="5E1A48F5"/>
    <w:rsid w:val="5E6C53F9"/>
    <w:rsid w:val="5EA1025C"/>
    <w:rsid w:val="5F100E60"/>
    <w:rsid w:val="5F755676"/>
    <w:rsid w:val="5FF14857"/>
    <w:rsid w:val="608279BE"/>
    <w:rsid w:val="60831B8F"/>
    <w:rsid w:val="608D1E78"/>
    <w:rsid w:val="60957569"/>
    <w:rsid w:val="60A93004"/>
    <w:rsid w:val="60C914F1"/>
    <w:rsid w:val="60D76EBB"/>
    <w:rsid w:val="60E10743"/>
    <w:rsid w:val="61822BBD"/>
    <w:rsid w:val="61F17041"/>
    <w:rsid w:val="625C07C8"/>
    <w:rsid w:val="6263071D"/>
    <w:rsid w:val="632274B8"/>
    <w:rsid w:val="65876A58"/>
    <w:rsid w:val="659E453C"/>
    <w:rsid w:val="668E4F8E"/>
    <w:rsid w:val="674D447D"/>
    <w:rsid w:val="67BD3A01"/>
    <w:rsid w:val="68610F40"/>
    <w:rsid w:val="687030BA"/>
    <w:rsid w:val="694524FD"/>
    <w:rsid w:val="6A154142"/>
    <w:rsid w:val="6A29780D"/>
    <w:rsid w:val="6A927164"/>
    <w:rsid w:val="6AA93874"/>
    <w:rsid w:val="6B1B2241"/>
    <w:rsid w:val="6C0F5707"/>
    <w:rsid w:val="6CBF7FCA"/>
    <w:rsid w:val="6CC76557"/>
    <w:rsid w:val="6D102366"/>
    <w:rsid w:val="6D2E1A23"/>
    <w:rsid w:val="6D8353AA"/>
    <w:rsid w:val="6D8F3E8A"/>
    <w:rsid w:val="6D977D5C"/>
    <w:rsid w:val="6EB45A86"/>
    <w:rsid w:val="6F0771B0"/>
    <w:rsid w:val="6F146DEC"/>
    <w:rsid w:val="6F561C38"/>
    <w:rsid w:val="708A0091"/>
    <w:rsid w:val="70F052F2"/>
    <w:rsid w:val="7193331E"/>
    <w:rsid w:val="7196113F"/>
    <w:rsid w:val="71F8285D"/>
    <w:rsid w:val="727035DC"/>
    <w:rsid w:val="72D27E0F"/>
    <w:rsid w:val="72E0654F"/>
    <w:rsid w:val="733524AC"/>
    <w:rsid w:val="74BD0A85"/>
    <w:rsid w:val="750B58C4"/>
    <w:rsid w:val="7518285D"/>
    <w:rsid w:val="752B62C5"/>
    <w:rsid w:val="75D86E9D"/>
    <w:rsid w:val="76274A97"/>
    <w:rsid w:val="76522D7F"/>
    <w:rsid w:val="776F36AF"/>
    <w:rsid w:val="778470D8"/>
    <w:rsid w:val="77A32B0C"/>
    <w:rsid w:val="77BC2C7D"/>
    <w:rsid w:val="77D80C08"/>
    <w:rsid w:val="780C5DD1"/>
    <w:rsid w:val="78836107"/>
    <w:rsid w:val="78A55E4A"/>
    <w:rsid w:val="78CD725C"/>
    <w:rsid w:val="78D35933"/>
    <w:rsid w:val="79A0584F"/>
    <w:rsid w:val="79D0203E"/>
    <w:rsid w:val="7A3C155B"/>
    <w:rsid w:val="7ACB2298"/>
    <w:rsid w:val="7B256F92"/>
    <w:rsid w:val="7B505ADC"/>
    <w:rsid w:val="7B8C4F6E"/>
    <w:rsid w:val="7C0E4756"/>
    <w:rsid w:val="7CAD0988"/>
    <w:rsid w:val="7D5E3F68"/>
    <w:rsid w:val="7D8C113F"/>
    <w:rsid w:val="7D9D0EBF"/>
    <w:rsid w:val="7DA93167"/>
    <w:rsid w:val="7DBE5C98"/>
    <w:rsid w:val="7EE21F5F"/>
    <w:rsid w:val="7F230DAA"/>
    <w:rsid w:val="7F37451C"/>
    <w:rsid w:val="7F5C487E"/>
    <w:rsid w:val="7FDA0F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qFormat="1" w:uiPriority="39"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ind w:firstLine="200" w:firstLineChars="200"/>
    </w:pPr>
    <w:rPr>
      <w:rFonts w:ascii="宋体" w:hAnsi="宋体" w:eastAsia="方正仿宋_GBK" w:cs="方正仿宋_GBK"/>
      <w:spacing w:val="11"/>
      <w:sz w:val="28"/>
      <w:szCs w:val="28"/>
      <w:lang w:val="en-US" w:eastAsia="zh-CN" w:bidi="ar-SA"/>
    </w:rPr>
  </w:style>
  <w:style w:type="paragraph" w:styleId="4">
    <w:name w:val="heading 1"/>
    <w:basedOn w:val="1"/>
    <w:next w:val="1"/>
    <w:qFormat/>
    <w:uiPriority w:val="0"/>
    <w:pPr>
      <w:pageBreakBefore/>
      <w:numPr>
        <w:ilvl w:val="0"/>
        <w:numId w:val="1"/>
      </w:numPr>
      <w:spacing w:before="50" w:beforeLines="50" w:after="50" w:afterLines="50" w:line="10" w:lineRule="atLeast"/>
      <w:ind w:firstLineChars="0"/>
      <w:outlineLvl w:val="0"/>
    </w:pPr>
    <w:rPr>
      <w:rFonts w:ascii="方正黑体_GBK" w:hAnsi="方正黑体_GBK" w:eastAsia="方正黑体_GBK" w:cs="方正黑体_GBK"/>
      <w:b/>
      <w:bCs/>
      <w:snapToGrid w:val="0"/>
      <w:sz w:val="32"/>
      <w:szCs w:val="32"/>
    </w:rPr>
  </w:style>
  <w:style w:type="paragraph" w:styleId="5">
    <w:name w:val="heading 2"/>
    <w:basedOn w:val="1"/>
    <w:next w:val="2"/>
    <w:unhideWhenUsed/>
    <w:qFormat/>
    <w:uiPriority w:val="0"/>
    <w:pPr>
      <w:keepNext/>
      <w:numPr>
        <w:ilvl w:val="1"/>
        <w:numId w:val="1"/>
      </w:numPr>
      <w:tabs>
        <w:tab w:val="left" w:pos="0"/>
      </w:tabs>
      <w:spacing w:before="50" w:beforeLines="50" w:after="50" w:afterLines="50" w:line="10" w:lineRule="atLeast"/>
      <w:ind w:firstLineChars="0"/>
      <w:outlineLvl w:val="1"/>
    </w:pPr>
    <w:rPr>
      <w:rFonts w:hint="eastAsia" w:ascii="方正楷体_GBK" w:hAnsi="方正楷体_GBK" w:eastAsia="方正楷体_GBK" w:cs="方正楷体_GBK"/>
      <w:b/>
      <w:bCs/>
      <w:snapToGrid w:val="0"/>
      <w:sz w:val="32"/>
      <w:szCs w:val="32"/>
    </w:rPr>
  </w:style>
  <w:style w:type="paragraph" w:styleId="6">
    <w:name w:val="heading 3"/>
    <w:basedOn w:val="2"/>
    <w:next w:val="3"/>
    <w:unhideWhenUsed/>
    <w:qFormat/>
    <w:uiPriority w:val="0"/>
    <w:pPr>
      <w:keepNext/>
      <w:numPr>
        <w:ilvl w:val="2"/>
        <w:numId w:val="1"/>
      </w:numPr>
      <w:tabs>
        <w:tab w:val="left" w:pos="0"/>
      </w:tabs>
      <w:spacing w:before="50" w:beforeLines="50" w:after="50" w:afterLines="50"/>
      <w:ind w:firstLineChars="0"/>
      <w:outlineLvl w:val="2"/>
    </w:pPr>
    <w:rPr>
      <w:rFonts w:ascii="方正仿宋_GBK" w:hAnsi="方正仿宋_GBK"/>
      <w:b/>
      <w:bCs/>
      <w:sz w:val="32"/>
      <w:szCs w:val="32"/>
    </w:rPr>
  </w:style>
  <w:style w:type="paragraph" w:styleId="7">
    <w:name w:val="heading 4"/>
    <w:basedOn w:val="2"/>
    <w:next w:val="2"/>
    <w:unhideWhenUsed/>
    <w:qFormat/>
    <w:uiPriority w:val="0"/>
    <w:pPr>
      <w:keepNext/>
      <w:numPr>
        <w:ilvl w:val="3"/>
        <w:numId w:val="1"/>
      </w:numPr>
      <w:tabs>
        <w:tab w:val="left" w:pos="0"/>
        <w:tab w:val="left" w:pos="575"/>
      </w:tabs>
      <w:spacing w:before="50" w:beforeLines="50" w:after="50" w:afterLines="50"/>
      <w:ind w:firstLineChars="0"/>
      <w:outlineLvl w:val="3"/>
    </w:pPr>
    <w:rPr>
      <w:rFonts w:hint="eastAsia" w:ascii="方正仿宋_GBK" w:hAnsi="方正仿宋_GBK"/>
      <w:b/>
      <w:bCs/>
      <w:sz w:val="32"/>
      <w:szCs w:val="32"/>
    </w:rPr>
  </w:style>
  <w:style w:type="paragraph" w:styleId="8">
    <w:name w:val="heading 5"/>
    <w:basedOn w:val="2"/>
    <w:next w:val="2"/>
    <w:unhideWhenUsed/>
    <w:qFormat/>
    <w:uiPriority w:val="0"/>
    <w:pPr>
      <w:keepNext/>
      <w:keepLines/>
      <w:numPr>
        <w:ilvl w:val="4"/>
        <w:numId w:val="1"/>
      </w:numPr>
      <w:tabs>
        <w:tab w:val="left" w:pos="1282"/>
      </w:tabs>
      <w:spacing w:before="50" w:beforeLines="50" w:after="50" w:afterLines="50"/>
      <w:ind w:firstLineChars="0"/>
      <w:outlineLvl w:val="4"/>
    </w:pPr>
    <w:rPr>
      <w:rFonts w:ascii="方正仿宋_GBK" w:hAnsi="方正仿宋_GBK"/>
      <w:b/>
      <w:bCs/>
      <w:sz w:val="32"/>
      <w:szCs w:val="32"/>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customStyle="1" w:styleId="2">
    <w:name w:val="样式  + 首行缩进:  2 字符"/>
    <w:basedOn w:val="3"/>
    <w:next w:val="1"/>
    <w:qFormat/>
    <w:uiPriority w:val="0"/>
    <w:pPr>
      <w:spacing w:line="10" w:lineRule="atLeast"/>
      <w:ind w:firstLine="524"/>
    </w:pPr>
    <w:rPr>
      <w:rFonts w:ascii="Times New Roman" w:hAnsi="Times New Roman"/>
    </w:rPr>
  </w:style>
  <w:style w:type="paragraph" w:customStyle="1" w:styleId="3">
    <w:name w:val="样式+首行缩进2字符"/>
    <w:basedOn w:val="1"/>
    <w:qFormat/>
    <w:uiPriority w:val="0"/>
    <w:pPr>
      <w:ind w:firstLine="480"/>
    </w:pPr>
    <w:rPr>
      <w:snapToGrid w:val="0"/>
    </w:rPr>
  </w:style>
  <w:style w:type="paragraph" w:styleId="9">
    <w:name w:val="toc 7"/>
    <w:basedOn w:val="1"/>
    <w:next w:val="1"/>
    <w:unhideWhenUsed/>
    <w:qFormat/>
    <w:uiPriority w:val="39"/>
    <w:pPr>
      <w:ind w:left="1440"/>
    </w:pPr>
    <w:rPr>
      <w:rFonts w:asciiTheme="minorHAnsi" w:hAnsiTheme="minorHAnsi"/>
      <w:sz w:val="18"/>
      <w:szCs w:val="18"/>
    </w:rPr>
  </w:style>
  <w:style w:type="paragraph" w:styleId="10">
    <w:name w:val="Normal Indent"/>
    <w:basedOn w:val="1"/>
    <w:unhideWhenUsed/>
    <w:qFormat/>
    <w:uiPriority w:val="0"/>
    <w:pPr>
      <w:snapToGrid/>
      <w:ind w:firstLine="420"/>
    </w:pPr>
    <w:rPr>
      <w:rFonts w:ascii="Calibri" w:hAnsi="Calibri"/>
      <w:spacing w:val="0"/>
    </w:rPr>
  </w:style>
  <w:style w:type="paragraph" w:customStyle="1" w:styleId="13">
    <w:name w:val="表格内文字"/>
    <w:qFormat/>
    <w:uiPriority w:val="0"/>
    <w:pPr>
      <w:widowControl w:val="0"/>
      <w:snapToGrid w:val="0"/>
      <w:ind w:left="60" w:leftChars="25" w:right="60" w:rightChars="25"/>
      <w:jc w:val="center"/>
    </w:pPr>
    <w:rPr>
      <w:rFonts w:hint="eastAsia" w:ascii="宋体" w:hAnsi="宋体" w:eastAsia="方正仿宋_GBK" w:cs="方正仿宋_GBK"/>
      <w:snapToGrid w:val="0"/>
      <w:sz w:val="28"/>
      <w:szCs w:val="28"/>
      <w:lang w:val="en-US" w:eastAsia="zh-CN" w:bidi="ar-SA"/>
    </w:rPr>
  </w:style>
  <w:style w:type="paragraph" w:styleId="14">
    <w:name w:val="List Paragraph"/>
    <w:basedOn w:val="1"/>
    <w:qFormat/>
    <w:uiPriority w:val="34"/>
    <w:pPr>
      <w:ind w:firstLine="420"/>
    </w:pPr>
  </w:style>
  <w:style w:type="paragraph" w:customStyle="1" w:styleId="15">
    <w:name w:val="插图编号"/>
    <w:basedOn w:val="2"/>
    <w:next w:val="2"/>
    <w:qFormat/>
    <w:uiPriority w:val="0"/>
    <w:pPr>
      <w:spacing w:before="50" w:beforeLines="50" w:after="100" w:afterLines="100"/>
      <w:ind w:firstLine="0" w:firstLineChars="0"/>
      <w:jc w:val="center"/>
    </w:pPr>
    <w:rPr>
      <w:spacing w:val="0"/>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emf"/><Relationship Id="rId12" Type="http://schemas.openxmlformats.org/officeDocument/2006/relationships/image" Target="media/image9.emf"/><Relationship Id="rId11" Type="http://schemas.openxmlformats.org/officeDocument/2006/relationships/image" Target="media/image8.emf"/><Relationship Id="rId10" Type="http://schemas.openxmlformats.org/officeDocument/2006/relationships/image" Target="media/image7.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Office_11.8.2.9017_F1E327BC-269C-435d-A152-05C5408002CA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2022-03-24T02:54:00Z</dcterms:created>
  <dc:creator>leo</dc:creator>
  <cp:lastModifiedBy>leo</cp:lastModifiedBy>
  <dcterms:modified xsi:type="dcterms:W3CDTF">2022-03-25T01:13:32Z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2052-11.8.2.9017</vt:lpwstr>
  </property>
</Properties>
</file>