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val="0"/>
        <w:bidi w:val="0"/>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重庆市农业投资集团有限公司</w:t>
      </w:r>
    </w:p>
    <w:p>
      <w:pPr>
        <w:pageBreakBefore w:val="0"/>
        <w:kinsoku/>
        <w:wordWrap/>
        <w:overflowPunct/>
        <w:topLinePunct w:val="0"/>
        <w:autoSpaceDE w:val="0"/>
        <w:bidi w:val="0"/>
        <w:spacing w:line="594" w:lineRule="exact"/>
        <w:jc w:val="center"/>
        <w:textAlignment w:val="auto"/>
        <w:rPr>
          <w:rFonts w:hint="eastAsia" w:ascii="方正小标宋_GBK" w:hAnsi="方正小标宋_GBK" w:eastAsia="方正小标宋_GBK" w:cs="方正小标宋_GBK"/>
          <w:spacing w:val="-10"/>
          <w:sz w:val="44"/>
          <w:szCs w:val="44"/>
          <w:lang w:val="zh-CN" w:eastAsia="zh-CN"/>
        </w:rPr>
      </w:pPr>
      <w:r>
        <w:rPr>
          <w:rFonts w:hint="eastAsia" w:ascii="方正小标宋_GBK" w:hAnsi="方正小标宋_GBK" w:eastAsia="方正小标宋_GBK" w:cs="方正小标宋_GBK"/>
          <w:sz w:val="44"/>
          <w:szCs w:val="44"/>
        </w:rPr>
        <w:t>常年税务顾问</w:t>
      </w:r>
      <w:r>
        <w:rPr>
          <w:rFonts w:hint="eastAsia" w:ascii="方正小标宋_GBK" w:hAnsi="方正小标宋_GBK" w:eastAsia="方正小标宋_GBK" w:cs="方正小标宋_GBK"/>
          <w:sz w:val="44"/>
          <w:szCs w:val="44"/>
          <w:lang w:eastAsia="zh-CN"/>
        </w:rPr>
        <w:t>项目</w:t>
      </w:r>
    </w:p>
    <w:p>
      <w:pPr>
        <w:pageBreakBefore w:val="0"/>
        <w:kinsoku/>
        <w:wordWrap/>
        <w:overflowPunct/>
        <w:topLinePunct w:val="0"/>
        <w:autoSpaceDE w:val="0"/>
        <w:bidi w:val="0"/>
        <w:spacing w:line="594" w:lineRule="exact"/>
        <w:jc w:val="center"/>
        <w:textAlignment w:val="auto"/>
        <w:rPr>
          <w:rFonts w:hint="eastAsia" w:ascii="方正小标宋_GBK" w:hAnsi="方正小标宋_GBK" w:eastAsia="方正小标宋_GBK" w:cs="方正小标宋_GBK"/>
          <w:sz w:val="44"/>
          <w:szCs w:val="44"/>
          <w:lang w:val="zh-CN"/>
        </w:rPr>
      </w:pPr>
    </w:p>
    <w:p>
      <w:pPr>
        <w:pageBreakBefore w:val="0"/>
        <w:kinsoku/>
        <w:wordWrap/>
        <w:overflowPunct/>
        <w:topLinePunct w:val="0"/>
        <w:autoSpaceDE w:val="0"/>
        <w:bidi w:val="0"/>
        <w:spacing w:line="594" w:lineRule="exact"/>
        <w:jc w:val="center"/>
        <w:textAlignment w:val="auto"/>
        <w:rPr>
          <w:rFonts w:hint="eastAsia" w:ascii="方正小标宋_GBK" w:hAnsi="方正小标宋_GBK" w:eastAsia="方正小标宋_GBK" w:cs="方正小标宋_GBK"/>
          <w:b/>
          <w:sz w:val="44"/>
          <w:szCs w:val="44"/>
          <w:lang w:val="zh-CN"/>
        </w:rPr>
      </w:pPr>
      <w:r>
        <w:rPr>
          <w:rFonts w:hint="eastAsia" w:ascii="Times New Roman" w:hAnsi="Times New Roman" w:eastAsia="方正小标宋_GBK" w:cs="Times New Roman"/>
          <w:b/>
          <w:color w:val="auto"/>
          <w:sz w:val="52"/>
          <w:szCs w:val="52"/>
          <w:highlight w:val="none"/>
          <w:lang w:val="zh-CN" w:eastAsia="zh-CN"/>
        </w:rPr>
        <w:t>公开比选文件</w:t>
      </w:r>
    </w:p>
    <w:p>
      <w:pPr>
        <w:pageBreakBefore w:val="0"/>
        <w:kinsoku/>
        <w:wordWrap/>
        <w:overflowPunct/>
        <w:topLinePunct w:val="0"/>
        <w:autoSpaceDE w:val="0"/>
        <w:bidi w:val="0"/>
        <w:spacing w:line="594" w:lineRule="exact"/>
        <w:jc w:val="center"/>
        <w:textAlignment w:val="auto"/>
        <w:rPr>
          <w:rFonts w:ascii="黑体" w:hAnsi="黑体" w:eastAsia="黑体" w:cs="宋体-18030"/>
          <w:sz w:val="36"/>
          <w:szCs w:val="36"/>
          <w:lang w:val="zh-CN"/>
        </w:rPr>
      </w:pPr>
    </w:p>
    <w:p>
      <w:pPr>
        <w:pageBreakBefore w:val="0"/>
        <w:kinsoku/>
        <w:wordWrap/>
        <w:overflowPunct/>
        <w:topLinePunct w:val="0"/>
        <w:bidi w:val="0"/>
        <w:spacing w:line="594" w:lineRule="exact"/>
        <w:jc w:val="center"/>
        <w:textAlignment w:val="auto"/>
        <w:rPr>
          <w:rFonts w:hint="eastAsia" w:ascii="方正小标宋_GBK" w:hAnsi="宋体" w:eastAsia="方正小标宋_GBK"/>
          <w:sz w:val="30"/>
          <w:szCs w:val="30"/>
        </w:rPr>
      </w:pPr>
      <w:r>
        <w:rPr>
          <w:rFonts w:hint="eastAsia" w:ascii="方正小标宋_GBK" w:hAnsi="宋体" w:eastAsia="方正小标宋_GBK"/>
          <w:sz w:val="30"/>
          <w:szCs w:val="30"/>
        </w:rPr>
        <w:t xml:space="preserve"> </w:t>
      </w:r>
    </w:p>
    <w:p>
      <w:pPr>
        <w:pageBreakBefore w:val="0"/>
        <w:kinsoku/>
        <w:wordWrap/>
        <w:overflowPunct/>
        <w:topLinePunct w:val="0"/>
        <w:autoSpaceDE w:val="0"/>
        <w:bidi w:val="0"/>
        <w:spacing w:line="594" w:lineRule="exact"/>
        <w:jc w:val="center"/>
        <w:textAlignment w:val="auto"/>
        <w:rPr>
          <w:rFonts w:ascii="黑体" w:hAnsi="黑体" w:eastAsia="黑体" w:cs="宋体-18030"/>
          <w:sz w:val="36"/>
          <w:szCs w:val="36"/>
          <w:lang w:val="zh-CN"/>
        </w:rPr>
      </w:pPr>
    </w:p>
    <w:p>
      <w:pPr>
        <w:pageBreakBefore w:val="0"/>
        <w:kinsoku/>
        <w:wordWrap/>
        <w:overflowPunct/>
        <w:topLinePunct w:val="0"/>
        <w:autoSpaceDE w:val="0"/>
        <w:bidi w:val="0"/>
        <w:spacing w:line="594" w:lineRule="exact"/>
        <w:jc w:val="center"/>
        <w:textAlignment w:val="auto"/>
        <w:rPr>
          <w:rFonts w:ascii="黑体" w:hAnsi="黑体" w:eastAsia="黑体" w:cs="宋体-18030"/>
          <w:sz w:val="36"/>
          <w:szCs w:val="36"/>
          <w:lang w:val="zh-CN"/>
        </w:rPr>
      </w:pPr>
    </w:p>
    <w:p>
      <w:pPr>
        <w:pageBreakBefore w:val="0"/>
        <w:kinsoku/>
        <w:wordWrap/>
        <w:overflowPunct/>
        <w:topLinePunct w:val="0"/>
        <w:autoSpaceDE w:val="0"/>
        <w:bidi w:val="0"/>
        <w:spacing w:line="594" w:lineRule="exact"/>
        <w:jc w:val="center"/>
        <w:textAlignment w:val="auto"/>
        <w:rPr>
          <w:rFonts w:ascii="黑体" w:hAnsi="黑体" w:eastAsia="黑体" w:cs="宋体-18030"/>
          <w:sz w:val="36"/>
          <w:szCs w:val="36"/>
          <w:lang w:val="zh-CN"/>
        </w:rPr>
      </w:pPr>
    </w:p>
    <w:p>
      <w:pPr>
        <w:keepNext w:val="0"/>
        <w:keepLines w:val="0"/>
        <w:pageBreakBefore w:val="0"/>
        <w:widowControl w:val="0"/>
        <w:kinsoku/>
        <w:wordWrap/>
        <w:overflowPunct/>
        <w:topLinePunct w:val="0"/>
        <w:autoSpaceDE/>
        <w:autoSpaceDN/>
        <w:bidi w:val="0"/>
        <w:adjustRightInd/>
        <w:snapToGrid/>
        <w:spacing w:line="594" w:lineRule="exact"/>
        <w:ind w:left="2690" w:leftChars="372" w:hanging="1500" w:hangingChars="500"/>
        <w:jc w:val="left"/>
        <w:textAlignment w:val="auto"/>
        <w:rPr>
          <w:rFonts w:hint="default"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eastAsia="方正小标宋_GBK" w:cs="Times New Roman"/>
          <w:color w:val="auto"/>
          <w:sz w:val="30"/>
          <w:szCs w:val="30"/>
          <w:highlight w:val="none"/>
          <w:lang w:val="en-US" w:eastAsia="zh-CN"/>
        </w:rPr>
        <w:t>重庆市农业投资集团有限公司常年税务顾问项目</w:t>
      </w:r>
    </w:p>
    <w:p>
      <w:pPr>
        <w:keepNext w:val="0"/>
        <w:keepLines w:val="0"/>
        <w:pageBreakBefore w:val="0"/>
        <w:widowControl w:val="0"/>
        <w:kinsoku/>
        <w:wordWrap/>
        <w:overflowPunct/>
        <w:topLinePunct w:val="0"/>
        <w:autoSpaceDE/>
        <w:autoSpaceDN/>
        <w:bidi w:val="0"/>
        <w:adjustRightInd/>
        <w:snapToGrid/>
        <w:spacing w:line="594"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eastAsia="方正小标宋_GBK" w:cs="Times New Roman"/>
          <w:color w:val="auto"/>
          <w:sz w:val="30"/>
          <w:szCs w:val="30"/>
          <w:highlight w:val="none"/>
          <w:lang w:val="en-US" w:eastAsia="zh-CN"/>
        </w:rPr>
        <w:t>重庆市农业投资集团有限公司</w:t>
      </w:r>
    </w:p>
    <w:p>
      <w:pPr>
        <w:pageBreakBefore w:val="0"/>
        <w:kinsoku/>
        <w:wordWrap/>
        <w:overflowPunct/>
        <w:topLinePunct w:val="0"/>
        <w:autoSpaceDE w:val="0"/>
        <w:bidi w:val="0"/>
        <w:spacing w:line="594" w:lineRule="exact"/>
        <w:jc w:val="center"/>
        <w:textAlignment w:val="auto"/>
        <w:rPr>
          <w:rFonts w:hint="eastAsia" w:ascii="黑体" w:hAnsi="黑体" w:eastAsia="黑体" w:cs="宋体-18030"/>
          <w:sz w:val="36"/>
          <w:szCs w:val="36"/>
          <w:lang w:val="zh-CN"/>
        </w:rPr>
      </w:pPr>
    </w:p>
    <w:p>
      <w:pPr>
        <w:pageBreakBefore w:val="0"/>
        <w:kinsoku/>
        <w:wordWrap/>
        <w:overflowPunct/>
        <w:topLinePunct w:val="0"/>
        <w:autoSpaceDE w:val="0"/>
        <w:bidi w:val="0"/>
        <w:spacing w:line="594" w:lineRule="exact"/>
        <w:jc w:val="center"/>
        <w:textAlignment w:val="auto"/>
        <w:rPr>
          <w:rFonts w:hint="eastAsia" w:ascii="黑体" w:hAnsi="黑体" w:eastAsia="黑体" w:cs="宋体-18030"/>
          <w:sz w:val="36"/>
          <w:szCs w:val="36"/>
          <w:lang w:val="zh-CN"/>
        </w:rPr>
      </w:pPr>
    </w:p>
    <w:p>
      <w:pPr>
        <w:pageBreakBefore w:val="0"/>
        <w:kinsoku/>
        <w:wordWrap/>
        <w:overflowPunct/>
        <w:topLinePunct w:val="0"/>
        <w:autoSpaceDE w:val="0"/>
        <w:bidi w:val="0"/>
        <w:spacing w:line="594" w:lineRule="exact"/>
        <w:jc w:val="center"/>
        <w:textAlignment w:val="auto"/>
        <w:rPr>
          <w:rFonts w:hint="eastAsia" w:ascii="黑体" w:hAnsi="黑体" w:eastAsia="黑体" w:cs="宋体-18030"/>
          <w:sz w:val="36"/>
          <w:szCs w:val="36"/>
          <w:lang w:val="zh-CN"/>
        </w:rPr>
      </w:pPr>
    </w:p>
    <w:p>
      <w:pPr>
        <w:pageBreakBefore w:val="0"/>
        <w:kinsoku/>
        <w:wordWrap/>
        <w:overflowPunct/>
        <w:topLinePunct w:val="0"/>
        <w:bidi w:val="0"/>
        <w:spacing w:line="594" w:lineRule="exact"/>
        <w:textAlignment w:val="auto"/>
        <w:rPr>
          <w:rFonts w:hint="eastAsia" w:ascii="仿宋_GB2312" w:hAnsi="仿宋_GB2312" w:eastAsia="仿宋_GB2312"/>
          <w:b/>
          <w:sz w:val="32"/>
          <w:szCs w:val="32"/>
        </w:rPr>
      </w:pPr>
    </w:p>
    <w:p>
      <w:pPr>
        <w:pageBreakBefore w:val="0"/>
        <w:kinsoku/>
        <w:wordWrap/>
        <w:overflowPunct/>
        <w:topLinePunct w:val="0"/>
        <w:bidi w:val="0"/>
        <w:spacing w:line="594" w:lineRule="exact"/>
        <w:textAlignment w:val="auto"/>
        <w:rPr>
          <w:rFonts w:hint="eastAsia" w:ascii="仿宋_GB2312" w:hAnsi="仿宋_GB2312" w:eastAsia="仿宋_GB2312"/>
          <w:b/>
          <w:sz w:val="32"/>
          <w:szCs w:val="32"/>
        </w:rPr>
      </w:pPr>
    </w:p>
    <w:p>
      <w:pPr>
        <w:pageBreakBefore w:val="0"/>
        <w:kinsoku/>
        <w:wordWrap/>
        <w:overflowPunct/>
        <w:topLinePunct w:val="0"/>
        <w:bidi w:val="0"/>
        <w:spacing w:line="594" w:lineRule="exact"/>
        <w:jc w:val="center"/>
        <w:textAlignment w:val="auto"/>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rPr>
        <w:t>二0</w:t>
      </w:r>
      <w:r>
        <w:rPr>
          <w:rFonts w:hint="eastAsia" w:ascii="Times New Roman" w:hAnsi="Times New Roman" w:eastAsia="方正小标宋_GBK" w:cs="Times New Roman"/>
          <w:color w:val="auto"/>
          <w:sz w:val="30"/>
          <w:szCs w:val="30"/>
          <w:highlight w:val="none"/>
          <w:lang w:eastAsia="zh-CN"/>
        </w:rPr>
        <w:t>二</w:t>
      </w:r>
      <w:r>
        <w:rPr>
          <w:rFonts w:hint="eastAsia" w:eastAsia="方正小标宋_GBK" w:cs="Times New Roman"/>
          <w:color w:val="auto"/>
          <w:sz w:val="30"/>
          <w:szCs w:val="30"/>
          <w:highlight w:val="none"/>
          <w:lang w:val="en-US" w:eastAsia="zh-CN"/>
        </w:rPr>
        <w:t>五</w:t>
      </w:r>
      <w:r>
        <w:rPr>
          <w:rFonts w:hint="eastAsia" w:ascii="Times New Roman" w:hAnsi="Times New Roman" w:eastAsia="方正小标宋_GBK" w:cs="Times New Roman"/>
          <w:color w:val="auto"/>
          <w:sz w:val="30"/>
          <w:szCs w:val="30"/>
          <w:highlight w:val="none"/>
        </w:rPr>
        <w:t>年</w:t>
      </w:r>
      <w:r>
        <w:rPr>
          <w:rFonts w:hint="eastAsia" w:eastAsia="方正小标宋_GBK" w:cs="Times New Roman"/>
          <w:color w:val="auto"/>
          <w:sz w:val="30"/>
          <w:szCs w:val="30"/>
          <w:highlight w:val="none"/>
          <w:lang w:val="en-US" w:eastAsia="zh-CN"/>
        </w:rPr>
        <w:t>五</w:t>
      </w:r>
      <w:r>
        <w:rPr>
          <w:rFonts w:hint="eastAsia" w:ascii="Times New Roman" w:hAnsi="Times New Roman" w:eastAsia="方正小标宋_GBK" w:cs="Times New Roman"/>
          <w:color w:val="auto"/>
          <w:sz w:val="30"/>
          <w:szCs w:val="30"/>
          <w:highlight w:val="none"/>
        </w:rPr>
        <w:t>月</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eastAsia" w:ascii="Times New Roman" w:hAnsi="Times New Roman" w:eastAsia="方正小标宋_GBK" w:cs="Times New Roman"/>
          <w:color w:val="auto"/>
          <w:sz w:val="30"/>
          <w:szCs w:val="30"/>
          <w:highlight w:val="none"/>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0"/>
        <w:rPr>
          <w:rFonts w:hint="default" w:ascii="Times New Roman" w:hAnsi="Times New Roman" w:cs="Times New Roman"/>
          <w:b/>
          <w:color w:val="auto"/>
          <w:sz w:val="32"/>
          <w:szCs w:val="32"/>
          <w:highlight w:val="none"/>
        </w:rPr>
      </w:pPr>
      <w:r>
        <w:rPr>
          <w:rFonts w:hint="default" w:ascii="Times New Roman" w:hAnsi="Times New Roman" w:eastAsia="方正黑体_GBK" w:cs="Times New Roman"/>
          <w:b/>
          <w:color w:val="auto"/>
          <w:sz w:val="32"/>
          <w:szCs w:val="32"/>
          <w:highlight w:val="none"/>
          <w:lang w:val="en-US" w:eastAsia="zh-CN"/>
        </w:rPr>
        <w:t>第一部分：比选公告</w:t>
      </w:r>
    </w:p>
    <w:p>
      <w:pPr>
        <w:keepNext w:val="0"/>
        <w:keepLines w:val="0"/>
        <w:pageBreakBefore w:val="0"/>
        <w:widowControl w:val="0"/>
        <w:kinsoku/>
        <w:wordWrap/>
        <w:overflowPunct/>
        <w:topLinePunct w:val="0"/>
        <w:autoSpaceDE w:val="0"/>
        <w:autoSpaceDN w:val="0"/>
        <w:bidi w:val="0"/>
        <w:adjustRightInd w:val="0"/>
        <w:snapToGrid/>
        <w:spacing w:line="594"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4" w:lineRule="exact"/>
        <w:ind w:right="0" w:rightChars="0"/>
        <w:jc w:val="lef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各参选单位：</w:t>
      </w:r>
    </w:p>
    <w:p>
      <w:pPr>
        <w:keepNext w:val="0"/>
        <w:keepLines w:val="0"/>
        <w:pageBreakBefore w:val="0"/>
        <w:widowControl w:val="0"/>
        <w:kinsoku/>
        <w:wordWrap/>
        <w:overflowPunct/>
        <w:topLinePunct w:val="0"/>
        <w:autoSpaceDE w:val="0"/>
        <w:autoSpaceDN w:val="0"/>
        <w:bidi w:val="0"/>
        <w:adjustRightInd w:val="0"/>
        <w:snapToGrid/>
        <w:spacing w:line="594" w:lineRule="exact"/>
        <w:ind w:right="0" w:rightChars="0" w:firstLine="640" w:firstLineChars="200"/>
        <w:jc w:val="left"/>
        <w:textAlignment w:val="auto"/>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en-US" w:eastAsia="zh-CN"/>
        </w:rPr>
        <w:t> 重庆市农业投资集团有限公司（以下简称：集团）拟通过公开比选方式聘请有相应资质和实战经验的单位提供常年税务顾问服务，具体事项通知如下：</w:t>
      </w:r>
    </w:p>
    <w:p>
      <w:pPr>
        <w:keepNext w:val="0"/>
        <w:keepLines w:val="0"/>
        <w:pageBreakBefore w:val="0"/>
        <w:widowControl w:val="0"/>
        <w:kinsoku/>
        <w:wordWrap/>
        <w:overflowPunct/>
        <w:topLinePunct w:val="0"/>
        <w:autoSpaceDE w:val="0"/>
        <w:autoSpaceDN w:val="0"/>
        <w:bidi w:val="0"/>
        <w:adjustRightInd w:val="0"/>
        <w:snapToGrid/>
        <w:spacing w:line="594" w:lineRule="exact"/>
        <w:ind w:right="0" w:rightChars="0" w:firstLine="640" w:firstLineChars="200"/>
        <w:jc w:val="left"/>
        <w:textAlignment w:val="auto"/>
        <w:rPr>
          <w:rFonts w:hint="eastAsia" w:ascii="方正仿宋_GBK" w:hAnsi="方正仿宋_GBK" w:eastAsia="方正仿宋_GBK" w:cs="方正仿宋_GBK"/>
          <w:color w:val="auto"/>
          <w:kern w:val="0"/>
          <w:sz w:val="32"/>
          <w:szCs w:val="32"/>
          <w:highlight w:val="none"/>
          <w:lang w:val="zh-CN" w:eastAsia="zh-CN"/>
        </w:rPr>
      </w:pPr>
      <w:r>
        <w:rPr>
          <w:rFonts w:hint="eastAsia" w:ascii="方正仿宋_GBK" w:hAnsi="方正仿宋_GBK" w:eastAsia="方正仿宋_GBK" w:cs="方正仿宋_GBK"/>
          <w:color w:val="auto"/>
          <w:kern w:val="0"/>
          <w:sz w:val="32"/>
          <w:szCs w:val="32"/>
          <w:highlight w:val="none"/>
          <w:lang w:val="en-US" w:eastAsia="zh-CN"/>
        </w:rPr>
        <w:t>一、比选</w:t>
      </w:r>
      <w:r>
        <w:rPr>
          <w:rFonts w:hint="eastAsia" w:ascii="方正仿宋_GBK" w:hAnsi="方正仿宋_GBK" w:eastAsia="方正仿宋_GBK" w:cs="方正仿宋_GBK"/>
          <w:color w:val="auto"/>
          <w:kern w:val="0"/>
          <w:sz w:val="32"/>
          <w:szCs w:val="32"/>
          <w:highlight w:val="none"/>
          <w:lang w:val="zh-CN" w:eastAsia="zh-CN"/>
        </w:rPr>
        <w:t>单位：</w:t>
      </w:r>
      <w:r>
        <w:rPr>
          <w:rFonts w:hint="eastAsia" w:ascii="方正仿宋_GBK" w:hAnsi="方正仿宋_GBK" w:eastAsia="方正仿宋_GBK" w:cs="方正仿宋_GBK"/>
          <w:color w:val="auto"/>
          <w:kern w:val="0"/>
          <w:sz w:val="32"/>
          <w:szCs w:val="32"/>
          <w:highlight w:val="none"/>
          <w:lang w:val="en-US" w:eastAsia="zh-CN"/>
        </w:rPr>
        <w:t>重庆市农业投资集团有限公司</w:t>
      </w:r>
      <w:r>
        <w:rPr>
          <w:rFonts w:hint="eastAsia" w:ascii="方正仿宋_GBK" w:hAnsi="方正仿宋_GBK" w:eastAsia="方正仿宋_GBK" w:cs="方正仿宋_GBK"/>
          <w:color w:val="auto"/>
          <w:kern w:val="0"/>
          <w:sz w:val="32"/>
          <w:szCs w:val="32"/>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94" w:lineRule="exact"/>
        <w:ind w:right="0" w:rightChars="0" w:firstLine="640" w:firstLineChars="200"/>
        <w:jc w:val="lef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二</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项目</w:t>
      </w:r>
      <w:r>
        <w:rPr>
          <w:rFonts w:hint="eastAsia" w:ascii="方正仿宋_GBK" w:hAnsi="方正仿宋_GBK" w:eastAsia="方正仿宋_GBK" w:cs="方正仿宋_GBK"/>
          <w:color w:val="auto"/>
          <w:kern w:val="0"/>
          <w:sz w:val="32"/>
          <w:szCs w:val="32"/>
          <w:highlight w:val="none"/>
          <w:lang w:val="zh-CN" w:eastAsia="zh-CN"/>
        </w:rPr>
        <w:t>名称：重庆市农业投资集团有限公司</w:t>
      </w:r>
      <w:r>
        <w:rPr>
          <w:rFonts w:hint="eastAsia" w:ascii="方正仿宋_GBK" w:hAnsi="方正仿宋_GBK" w:eastAsia="方正仿宋_GBK" w:cs="方正仿宋_GBK"/>
          <w:color w:val="auto"/>
          <w:kern w:val="0"/>
          <w:sz w:val="32"/>
          <w:szCs w:val="32"/>
          <w:highlight w:val="none"/>
          <w:lang w:val="en-US" w:eastAsia="zh-CN"/>
        </w:rPr>
        <w:t>常年税务顾问</w:t>
      </w:r>
      <w:r>
        <w:rPr>
          <w:rFonts w:hint="eastAsia" w:ascii="方正仿宋_GBK" w:hAnsi="方正仿宋_GBK" w:eastAsia="方正仿宋_GBK" w:cs="方正仿宋_GBK"/>
          <w:color w:val="auto"/>
          <w:kern w:val="0"/>
          <w:sz w:val="32"/>
          <w:szCs w:val="32"/>
          <w:highlight w:val="none"/>
          <w:lang w:val="zh-CN" w:eastAsia="zh-CN"/>
        </w:rPr>
        <w:t>项目</w:t>
      </w:r>
      <w:r>
        <w:rPr>
          <w:rFonts w:hint="eastAsia" w:ascii="方正仿宋_GBK" w:hAnsi="方正仿宋_GBK" w:eastAsia="方正仿宋_GBK" w:cs="方正仿宋_GBK"/>
          <w:color w:val="auto"/>
          <w:kern w:val="0"/>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94" w:lineRule="exact"/>
        <w:ind w:right="0" w:rightChars="0" w:firstLine="640" w:firstLineChars="200"/>
        <w:jc w:val="lef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三</w:t>
      </w:r>
      <w:r>
        <w:rPr>
          <w:rFonts w:hint="eastAsia" w:ascii="方正仿宋_GBK" w:hAnsi="方正仿宋_GBK" w:eastAsia="方正仿宋_GBK" w:cs="方正仿宋_GBK"/>
          <w:color w:val="auto"/>
          <w:kern w:val="0"/>
          <w:sz w:val="32"/>
          <w:szCs w:val="32"/>
          <w:highlight w:val="none"/>
        </w:rPr>
        <w:t>、</w:t>
      </w:r>
      <w:r>
        <w:rPr>
          <w:rFonts w:hint="eastAsia" w:ascii="方正仿宋_GBK" w:hAnsi="方正仿宋_GBK" w:eastAsia="方正仿宋_GBK" w:cs="方正仿宋_GBK"/>
          <w:color w:val="auto"/>
          <w:kern w:val="0"/>
          <w:sz w:val="32"/>
          <w:szCs w:val="32"/>
          <w:highlight w:val="none"/>
          <w:lang w:eastAsia="zh-CN"/>
        </w:rPr>
        <w:t>采购标的：</w:t>
      </w:r>
      <w:r>
        <w:rPr>
          <w:rFonts w:hint="eastAsia" w:ascii="方正仿宋_GBK" w:hAnsi="方正仿宋_GBK" w:eastAsia="方正仿宋_GBK" w:cs="方正仿宋_GBK"/>
          <w:color w:val="auto"/>
          <w:kern w:val="0"/>
          <w:sz w:val="32"/>
          <w:szCs w:val="32"/>
          <w:highlight w:val="none"/>
          <w:lang w:val="en-US" w:eastAsia="zh-CN"/>
        </w:rPr>
        <w:t>合同履行期间，提供以下服务：</w:t>
      </w:r>
    </w:p>
    <w:p>
      <w:pPr>
        <w:pStyle w:val="2"/>
        <w:keepNext w:val="0"/>
        <w:keepLines w:val="0"/>
        <w:pageBreakBefore w:val="0"/>
        <w:kinsoku/>
        <w:wordWrap/>
        <w:overflowPunct/>
        <w:topLinePunct w:val="0"/>
        <w:bidi w:val="0"/>
        <w:snapToGrid/>
        <w:spacing w:line="594" w:lineRule="exact"/>
        <w:ind w:right="0" w:rightChars="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 xml:space="preserve">    1.</w:t>
      </w:r>
      <w:r>
        <w:rPr>
          <w:rFonts w:hint="eastAsia" w:ascii="方正仿宋_GBK" w:hAnsi="方正仿宋_GBK" w:eastAsia="方正仿宋_GBK" w:cs="方正仿宋_GBK"/>
          <w:sz w:val="32"/>
          <w:szCs w:val="32"/>
        </w:rPr>
        <w:t>为集团</w:t>
      </w:r>
      <w:r>
        <w:rPr>
          <w:rFonts w:hint="eastAsia" w:ascii="方正仿宋_GBK" w:hAnsi="方正仿宋_GBK" w:eastAsia="方正仿宋_GBK" w:cs="方正仿宋_GBK"/>
          <w:sz w:val="32"/>
          <w:szCs w:val="32"/>
          <w:lang w:val="en-US" w:eastAsia="zh-CN"/>
        </w:rPr>
        <w:t>本部</w:t>
      </w:r>
      <w:r>
        <w:rPr>
          <w:rFonts w:hint="eastAsia" w:ascii="方正仿宋_GBK" w:hAnsi="方正仿宋_GBK" w:eastAsia="方正仿宋_GBK" w:cs="方正仿宋_GBK"/>
          <w:sz w:val="32"/>
          <w:szCs w:val="32"/>
        </w:rPr>
        <w:t>及所属企业</w:t>
      </w:r>
      <w:r>
        <w:rPr>
          <w:rFonts w:hint="eastAsia" w:ascii="方正仿宋_GBK" w:hAnsi="方正仿宋_GBK" w:eastAsia="方正仿宋_GBK" w:cs="方正仿宋_GBK"/>
          <w:sz w:val="32"/>
          <w:szCs w:val="32"/>
          <w:lang w:val="en-US" w:eastAsia="zh-CN"/>
        </w:rPr>
        <w:t>在</w:t>
      </w:r>
      <w:r>
        <w:rPr>
          <w:rFonts w:hint="eastAsia" w:ascii="方正仿宋_GBK" w:hAnsi="方正仿宋_GBK" w:eastAsia="方正仿宋_GBK" w:cs="方正仿宋_GBK"/>
          <w:color w:val="auto"/>
          <w:kern w:val="0"/>
          <w:sz w:val="32"/>
          <w:szCs w:val="32"/>
          <w:highlight w:val="none"/>
          <w:lang w:val="en-US" w:eastAsia="zh-CN"/>
        </w:rPr>
        <w:t>日常经营过程中遇到的财税问题</w:t>
      </w:r>
      <w:r>
        <w:rPr>
          <w:rFonts w:hint="eastAsia" w:ascii="方正仿宋_GBK" w:hAnsi="方正仿宋_GBK" w:eastAsia="方正仿宋_GBK" w:cs="方正仿宋_GBK"/>
          <w:sz w:val="32"/>
          <w:szCs w:val="32"/>
        </w:rPr>
        <w:t>提出专业建议、出具税务咨询意见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并指导相关</w:t>
      </w:r>
      <w:r>
        <w:rPr>
          <w:rFonts w:hint="eastAsia" w:ascii="方正仿宋_GBK" w:hAnsi="方正仿宋_GBK" w:eastAsia="方正仿宋_GBK" w:cs="方正仿宋_GBK"/>
          <w:color w:val="auto"/>
          <w:kern w:val="0"/>
          <w:sz w:val="32"/>
          <w:szCs w:val="32"/>
          <w:highlight w:val="none"/>
          <w:lang w:val="en-US" w:eastAsia="zh-CN"/>
        </w:rPr>
        <w:t>手续的办理;</w:t>
      </w:r>
    </w:p>
    <w:p>
      <w:pPr>
        <w:pStyle w:val="2"/>
        <w:keepNext w:val="0"/>
        <w:keepLines w:val="0"/>
        <w:pageBreakBefore w:val="0"/>
        <w:kinsoku/>
        <w:wordWrap/>
        <w:overflowPunct/>
        <w:topLinePunct w:val="0"/>
        <w:bidi w:val="0"/>
        <w:snapToGrid/>
        <w:spacing w:line="594" w:lineRule="exact"/>
        <w:ind w:right="0" w:rightChars="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 xml:space="preserve">    2.解析最新税收政策，辅导财税人员正确理解、执行国家税收规定，并根据需要对经营活动过程中涉及的有关涉税事项，按税收法律法规和会计法规等要求予以辅导;</w:t>
      </w:r>
    </w:p>
    <w:p>
      <w:pPr>
        <w:pStyle w:val="2"/>
        <w:keepNext w:val="0"/>
        <w:keepLines w:val="0"/>
        <w:pageBreakBefore w:val="0"/>
        <w:kinsoku/>
        <w:wordWrap/>
        <w:overflowPunct/>
        <w:topLinePunct w:val="0"/>
        <w:bidi w:val="0"/>
        <w:snapToGrid/>
        <w:spacing w:line="594" w:lineRule="exact"/>
        <w:ind w:right="0" w:rightChars="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 xml:space="preserve">    3.根据需求，指导或审定各类涉税合同、协议的条款;</w:t>
      </w:r>
    </w:p>
    <w:p>
      <w:pPr>
        <w:pStyle w:val="2"/>
        <w:keepNext w:val="0"/>
        <w:keepLines w:val="0"/>
        <w:pageBreakBefore w:val="0"/>
        <w:kinsoku/>
        <w:wordWrap/>
        <w:overflowPunct/>
        <w:topLinePunct w:val="0"/>
        <w:bidi w:val="0"/>
        <w:snapToGrid/>
        <w:spacing w:line="594" w:lineRule="exact"/>
        <w:ind w:right="0" w:rightChars="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 xml:space="preserve">    4.每年对集团本部纳税风险进行一次评估，并给出建议;</w:t>
      </w:r>
    </w:p>
    <w:p>
      <w:pPr>
        <w:keepNext w:val="0"/>
        <w:keepLines w:val="0"/>
        <w:pageBreakBefore w:val="0"/>
        <w:numPr>
          <w:ilvl w:val="0"/>
          <w:numId w:val="0"/>
        </w:numPr>
        <w:tabs>
          <w:tab w:val="left" w:pos="851"/>
        </w:tabs>
        <w:kinsoku/>
        <w:wordWrap/>
        <w:overflowPunct/>
        <w:topLinePunct w:val="0"/>
        <w:autoSpaceDE/>
        <w:autoSpaceDN/>
        <w:bidi w:val="0"/>
        <w:snapToGrid/>
        <w:spacing w:line="594" w:lineRule="exact"/>
        <w:ind w:leftChars="200" w:right="0" w:rightChars="0"/>
        <w:textAlignment w:val="auto"/>
        <w:outlineLvl w:val="9"/>
        <w:rPr>
          <w:rFonts w:ascii="方正仿宋_GBK" w:hAnsi="方正仿宋_GBK" w:eastAsia="方正仿宋_GBK" w:cs="宋体"/>
          <w:kern w:val="0"/>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开展现场税务实务培训至少一次</w:t>
      </w:r>
      <w:r>
        <w:rPr>
          <w:rFonts w:hint="eastAsia" w:ascii="方正仿宋_GBK" w:hAnsi="方正仿宋_GBK" w:eastAsia="方正仿宋_GBK" w:cs="方正仿宋_GBK"/>
          <w:sz w:val="32"/>
          <w:szCs w:val="32"/>
          <w:lang w:eastAsia="zh-CN"/>
        </w:rPr>
        <w:t>；</w:t>
      </w:r>
    </w:p>
    <w:p>
      <w:pPr>
        <w:keepNext w:val="0"/>
        <w:keepLines w:val="0"/>
        <w:pageBreakBefore w:val="0"/>
        <w:numPr>
          <w:ilvl w:val="0"/>
          <w:numId w:val="0"/>
        </w:numPr>
        <w:tabs>
          <w:tab w:val="left" w:pos="851"/>
        </w:tabs>
        <w:kinsoku/>
        <w:wordWrap/>
        <w:overflowPunct/>
        <w:topLinePunct w:val="0"/>
        <w:autoSpaceDE/>
        <w:autoSpaceDN/>
        <w:bidi w:val="0"/>
        <w:snapToGrid/>
        <w:spacing w:line="594" w:lineRule="exact"/>
        <w:ind w:leftChars="200" w:right="0" w:right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为集团本部提供</w:t>
      </w:r>
      <w:r>
        <w:rPr>
          <w:rFonts w:hint="eastAsia" w:ascii="方正仿宋_GBK" w:hAnsi="方正仿宋_GBK" w:eastAsia="方正仿宋_GBK" w:cs="方正仿宋_GBK"/>
          <w:sz w:val="32"/>
          <w:szCs w:val="32"/>
          <w:lang w:val="en-US" w:eastAsia="zh-CN"/>
        </w:rPr>
        <w:t>年度</w:t>
      </w:r>
      <w:r>
        <w:rPr>
          <w:rFonts w:hint="eastAsia" w:ascii="方正仿宋_GBK" w:hAnsi="方正仿宋_GBK" w:eastAsia="方正仿宋_GBK" w:cs="方正仿宋_GBK"/>
          <w:sz w:val="32"/>
          <w:szCs w:val="32"/>
        </w:rPr>
        <w:t>企业所得税</w:t>
      </w:r>
      <w:r>
        <w:rPr>
          <w:rFonts w:hint="eastAsia" w:ascii="方正仿宋_GBK" w:hAnsi="方正仿宋_GBK" w:eastAsia="方正仿宋_GBK" w:cs="方正仿宋_GBK"/>
          <w:sz w:val="32"/>
          <w:szCs w:val="32"/>
          <w:lang w:val="en-US" w:eastAsia="zh-CN"/>
        </w:rPr>
        <w:t>汇算清缴</w:t>
      </w:r>
      <w:r>
        <w:rPr>
          <w:rFonts w:hint="eastAsia" w:ascii="方正仿宋_GBK" w:hAnsi="方正仿宋_GBK" w:eastAsia="方正仿宋_GBK" w:cs="方正仿宋_GBK"/>
          <w:sz w:val="32"/>
          <w:szCs w:val="32"/>
        </w:rPr>
        <w:t>鉴证服务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并出具</w:t>
      </w:r>
    </w:p>
    <w:p>
      <w:pPr>
        <w:keepNext w:val="0"/>
        <w:keepLines w:val="0"/>
        <w:pageBreakBefore w:val="0"/>
        <w:numPr>
          <w:ilvl w:val="0"/>
          <w:numId w:val="0"/>
        </w:numPr>
        <w:tabs>
          <w:tab w:val="left" w:pos="851"/>
        </w:tabs>
        <w:kinsoku/>
        <w:wordWrap/>
        <w:overflowPunct/>
        <w:topLinePunct w:val="0"/>
        <w:autoSpaceDE/>
        <w:autoSpaceDN/>
        <w:bidi w:val="0"/>
        <w:snapToGrid/>
        <w:spacing w:line="594" w:lineRule="exact"/>
        <w:ind w:right="0" w:rightChars="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报告</w:t>
      </w:r>
      <w:r>
        <w:rPr>
          <w:rFonts w:hint="eastAsia" w:ascii="方正仿宋_GBK" w:hAnsi="方正仿宋_GBK" w:eastAsia="方正仿宋_GBK" w:cs="方正仿宋_GBK"/>
          <w:sz w:val="32"/>
          <w:szCs w:val="32"/>
          <w:lang w:eastAsia="zh-CN"/>
        </w:rPr>
        <w:t>。</w:t>
      </w:r>
    </w:p>
    <w:p>
      <w:pPr>
        <w:pStyle w:val="11"/>
        <w:keepNext w:val="0"/>
        <w:keepLines w:val="0"/>
        <w:widowControl/>
        <w:numPr>
          <w:ilvl w:val="-1"/>
          <w:numId w:val="0"/>
        </w:numPr>
        <w:suppressLineNumbers w:val="0"/>
        <w:spacing w:before="0" w:beforeAutospacing="0" w:after="0" w:afterAutospacing="0"/>
        <w:ind w:left="640" w:right="0" w:firstLine="0"/>
        <w:rPr>
          <w:rFonts w:hint="eastAsia"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i w:val="0"/>
          <w:caps w:val="0"/>
          <w:color w:val="000000"/>
          <w:spacing w:val="0"/>
          <w:sz w:val="32"/>
          <w:szCs w:val="32"/>
          <w:lang w:val="en-US" w:eastAsia="zh-CN"/>
        </w:rPr>
        <w:t xml:space="preserve"> 四、服务期限</w:t>
      </w:r>
    </w:p>
    <w:p>
      <w:pPr>
        <w:pStyle w:val="11"/>
        <w:keepNext w:val="0"/>
        <w:keepLines w:val="0"/>
        <w:widowControl/>
        <w:numPr>
          <w:ilvl w:val="0"/>
          <w:numId w:val="0"/>
        </w:numPr>
        <w:suppressLineNumbers w:val="0"/>
        <w:spacing w:before="0" w:beforeAutospacing="0" w:after="0" w:afterAutospacing="0"/>
        <w:ind w:left="640" w:leftChars="0" w:right="0" w:rightChars="0"/>
        <w:rPr>
          <w:rFonts w:hint="eastAsia"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i w:val="0"/>
          <w:caps w:val="0"/>
          <w:color w:val="000000"/>
          <w:spacing w:val="0"/>
          <w:sz w:val="32"/>
          <w:szCs w:val="32"/>
          <w:lang w:val="en-US" w:eastAsia="zh-CN"/>
        </w:rPr>
        <w:t xml:space="preserve"> 服务期三年，合同一年一签。每年由集团财务部组织各子企</w:t>
      </w:r>
    </w:p>
    <w:p>
      <w:pPr>
        <w:keepNext w:val="0"/>
        <w:keepLines w:val="0"/>
        <w:pageBreakBefore w:val="0"/>
        <w:kinsoku/>
        <w:wordWrap/>
        <w:overflowPunct/>
        <w:topLinePunct w:val="0"/>
        <w:bidi w:val="0"/>
        <w:snapToGrid/>
        <w:spacing w:line="594" w:lineRule="exact"/>
        <w:ind w:right="0" w:rightChars="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i w:val="0"/>
          <w:caps w:val="0"/>
          <w:color w:val="000000"/>
          <w:spacing w:val="0"/>
          <w:sz w:val="32"/>
          <w:szCs w:val="32"/>
          <w:lang w:val="en-US" w:eastAsia="zh-CN"/>
        </w:rPr>
        <w:t>业从专业能力、问题处理效果、服务态度等方面对常年税务顾问服务质量进行考核，考核结果达到“可以胜任”等级及以上的，报领导审批后续签合同；考核结果未达到“可以胜任”等级的，重新选聘。</w:t>
      </w:r>
    </w:p>
    <w:p>
      <w:pPr>
        <w:keepNext w:val="0"/>
        <w:keepLines w:val="0"/>
        <w:pageBreakBefore w:val="0"/>
        <w:kinsoku/>
        <w:wordWrap/>
        <w:overflowPunct/>
        <w:topLinePunct w:val="0"/>
        <w:bidi w:val="0"/>
        <w:snapToGrid/>
        <w:spacing w:line="594" w:lineRule="exact"/>
        <w:ind w:right="0" w:rightChars="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 xml:space="preserve">    五、最高限价：投标最高限价10万，报价高于最高</w:t>
      </w:r>
      <w:bookmarkStart w:id="0" w:name="OLE_LINK2"/>
      <w:r>
        <w:rPr>
          <w:rFonts w:hint="eastAsia" w:ascii="方正仿宋_GBK" w:hAnsi="方正仿宋_GBK" w:eastAsia="方正仿宋_GBK" w:cs="方正仿宋_GBK"/>
          <w:color w:val="auto"/>
          <w:kern w:val="0"/>
          <w:sz w:val="32"/>
          <w:szCs w:val="32"/>
          <w:highlight w:val="none"/>
          <w:lang w:val="en-US" w:eastAsia="zh-CN"/>
        </w:rPr>
        <w:t>限价将做废标处理。</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六、报价单位</w:t>
      </w:r>
      <w:bookmarkEnd w:id="0"/>
      <w:r>
        <w:rPr>
          <w:rFonts w:hint="eastAsia" w:ascii="方正仿宋_GBK" w:hAnsi="方正仿宋_GBK" w:eastAsia="方正仿宋_GBK" w:cs="方正仿宋_GBK"/>
          <w:color w:val="auto"/>
          <w:kern w:val="0"/>
          <w:sz w:val="32"/>
          <w:szCs w:val="32"/>
          <w:highlight w:val="none"/>
          <w:lang w:val="en-US" w:eastAsia="zh-CN" w:bidi="ar-SA"/>
        </w:rPr>
        <w:t>资格要求</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1.具备独立承担民事责任能力的独立法人企业；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94" w:lineRule="exact"/>
        <w:ind w:left="0" w:right="0" w:rightChars="0"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2.项目负责人具备税务师相应资质；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left"/>
        <w:textAlignment w:val="auto"/>
        <w:outlineLvl w:val="0"/>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3.参加本次比选前三年（2022年4月28日至2025年4月28日），税务机构没有重大违法记录、没有重大税收违法案件，以报名截止期当日信用中国、中国执行信息公开网、国家企业信用信息公示系统的查询结果为准。必须出具书面承诺函，格式自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left"/>
        <w:textAlignment w:val="auto"/>
        <w:outlineLvl w:val="0"/>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 xml:space="preserve"> </w:t>
      </w:r>
      <w:r>
        <w:rPr>
          <w:rFonts w:hint="eastAsia" w:ascii="方正仿宋_GBK" w:hAnsi="方正仿宋_GBK" w:eastAsia="方正仿宋_GBK" w:cs="方正仿宋_GBK"/>
          <w:b w:val="0"/>
          <w:bCs w:val="0"/>
          <w:color w:val="000000"/>
          <w:sz w:val="32"/>
          <w:szCs w:val="32"/>
          <w:highlight w:val="none"/>
          <w:lang w:val="en-US" w:eastAsia="zh-CN"/>
        </w:rPr>
        <w:t>4.投标人认为必要的其它证明文件。</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七</w:t>
      </w:r>
      <w:r>
        <w:rPr>
          <w:rFonts w:hint="eastAsia" w:ascii="方正仿宋_GBK" w:hAnsi="方正仿宋_GBK" w:eastAsia="方正仿宋_GBK" w:cs="方正仿宋_GBK"/>
          <w:color w:val="auto"/>
          <w:kern w:val="0"/>
          <w:sz w:val="32"/>
          <w:szCs w:val="32"/>
          <w:highlight w:val="none"/>
        </w:rPr>
        <w:t>、投标文件的递交</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color w:val="auto"/>
          <w:kern w:val="0"/>
          <w:sz w:val="32"/>
          <w:szCs w:val="32"/>
          <w:highlight w:val="none"/>
        </w:rPr>
        <w:t>1</w:t>
      </w:r>
      <w:r>
        <w:rPr>
          <w:rFonts w:hint="eastAsia"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rPr>
        <w:t>投标文件递交的截止时间：202</w:t>
      </w: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年</w:t>
      </w: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月9</w:t>
      </w:r>
      <w:r>
        <w:rPr>
          <w:rFonts w:hint="eastAsia" w:ascii="方正仿宋_GBK" w:hAnsi="方正仿宋_GBK" w:eastAsia="方正仿宋_GBK" w:cs="方正仿宋_GBK"/>
          <w:color w:val="auto"/>
          <w:kern w:val="0"/>
          <w:sz w:val="32"/>
          <w:szCs w:val="32"/>
          <w:highlight w:val="none"/>
          <w:lang w:val="en-US" w:eastAsia="zh-CN"/>
        </w:rPr>
        <w:t>日14:00</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rPr>
        <w:t>逾期送达的或者未送达指定地点的投标文件，将不予受理</w:t>
      </w:r>
      <w:r>
        <w:rPr>
          <w:rFonts w:hint="eastAsia" w:ascii="方正仿宋_GBK" w:hAnsi="方正仿宋_GBK" w:eastAsia="方正仿宋_GBK" w:cs="方正仿宋_GBK"/>
          <w:color w:val="auto"/>
          <w:kern w:val="0"/>
          <w:sz w:val="32"/>
          <w:szCs w:val="32"/>
          <w:highlight w:val="none"/>
          <w:lang w:eastAsia="zh-CN"/>
        </w:rPr>
        <w:t>。</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color w:val="auto"/>
          <w:kern w:val="0"/>
          <w:sz w:val="32"/>
          <w:szCs w:val="32"/>
          <w:highlight w:val="none"/>
          <w:lang w:val="en-US" w:eastAsia="zh-CN"/>
        </w:rPr>
        <w:t>2.投标文件要求：参选单位应将投标资料用A4纸装订成册，在每页加盖公章；用文件袋加封条密封，并在封条上加盖公章，文件袋外贴封面，注明单位名称、联系人、联系电话。资料一式二份，以现场或邮寄方式送达：重庆市渝中区两路口天友大酒店20楼，财务资金部，文件资料送达时间以签收时间为准。无论参选方是否中标，比选响应文件将不予退还</w:t>
      </w:r>
      <w:r>
        <w:rPr>
          <w:rFonts w:hint="eastAsia" w:ascii="方正仿宋_GBK" w:hAnsi="方正仿宋_GBK" w:eastAsia="方正仿宋_GBK" w:cs="方正仿宋_GBK"/>
          <w:color w:val="auto"/>
          <w:kern w:val="0"/>
          <w:sz w:val="32"/>
          <w:szCs w:val="32"/>
          <w:highlight w:val="none"/>
        </w:rPr>
        <w:t>。</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rPr>
        <w:t>送达地点：</w:t>
      </w:r>
      <w:r>
        <w:rPr>
          <w:rFonts w:hint="eastAsia" w:ascii="方正仿宋_GBK" w:hAnsi="方正仿宋_GBK" w:eastAsia="方正仿宋_GBK" w:cs="方正仿宋_GBK"/>
          <w:color w:val="auto"/>
          <w:kern w:val="0"/>
          <w:sz w:val="32"/>
          <w:szCs w:val="32"/>
          <w:highlight w:val="none"/>
          <w:lang w:val="en-US" w:eastAsia="zh-CN"/>
        </w:rPr>
        <w:t>重庆市中山三路天友大酒店20楼</w:t>
      </w:r>
      <w:r>
        <w:rPr>
          <w:rFonts w:hint="eastAsia" w:ascii="方正仿宋_GBK" w:hAnsi="方正仿宋_GBK" w:eastAsia="方正仿宋_GBK" w:cs="方正仿宋_GBK"/>
          <w:color w:val="auto"/>
          <w:kern w:val="0"/>
          <w:sz w:val="32"/>
          <w:szCs w:val="32"/>
          <w:highlight w:val="none"/>
          <w:lang w:eastAsia="zh-CN"/>
        </w:rPr>
        <w:t>，</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收件人：李女士，联系电话：18983948567</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八、其他要求</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1.本次比选公告在“重庆市农业投资集团有限公司（https://www.cqsnk.cn/）”官网上发布；</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2.其他未尽事宜由双方在合同中详细约定；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94" w:lineRule="exact"/>
        <w:ind w:left="0" w:right="0" w:rightChars="0"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3.资料提交截止时间后5个工作日内由项目评审小组进行比选，</w:t>
      </w:r>
      <w:r>
        <w:rPr>
          <w:rFonts w:hint="eastAsia" w:ascii="方正仿宋_GBK" w:hAnsi="方正仿宋_GBK" w:eastAsia="方正仿宋_GBK" w:cs="方正仿宋_GBK"/>
          <w:color w:val="auto"/>
          <w:kern w:val="0"/>
          <w:sz w:val="32"/>
          <w:szCs w:val="32"/>
          <w:highlight w:val="none"/>
          <w:lang w:val="en-US" w:eastAsia="zh-CN" w:bidi="ar-SA"/>
        </w:rPr>
        <w:t>项目评审小组根据报价单位递交的资料，采用综合评分法进行评定；如遇评分相同者，以注册资金大者列前。</w:t>
      </w:r>
      <w:r>
        <w:rPr>
          <w:rFonts w:hint="eastAsia" w:ascii="方正仿宋_GBK" w:hAnsi="方正仿宋_GBK" w:eastAsia="方正仿宋_GBK" w:cs="方正仿宋_GBK"/>
          <w:color w:val="auto"/>
          <w:kern w:val="0"/>
          <w:sz w:val="32"/>
          <w:szCs w:val="32"/>
          <w:highlight w:val="none"/>
          <w:lang w:val="en-US" w:eastAsia="zh-CN"/>
        </w:rPr>
        <w:t>待比选结果完成最终审定程序后，直接通知中选单位签订合同；</w:t>
      </w:r>
      <w:bookmarkStart w:id="4" w:name="_GoBack"/>
      <w:bookmarkEnd w:id="4"/>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4.</w:t>
      </w:r>
      <w:r>
        <w:rPr>
          <w:rFonts w:hint="eastAsia" w:ascii="方正仿宋_GBK" w:hAnsi="方正仿宋_GBK" w:eastAsia="方正仿宋_GBK" w:cs="方正仿宋_GBK"/>
          <w:color w:val="auto"/>
          <w:kern w:val="0"/>
          <w:sz w:val="32"/>
          <w:szCs w:val="32"/>
          <w:highlight w:val="none"/>
        </w:rPr>
        <w:t>投标</w:t>
      </w:r>
      <w:r>
        <w:rPr>
          <w:rFonts w:hint="eastAsia" w:ascii="方正仿宋_GBK" w:hAnsi="方正仿宋_GBK" w:eastAsia="方正仿宋_GBK" w:cs="方正仿宋_GBK"/>
          <w:color w:val="auto"/>
          <w:kern w:val="0"/>
          <w:sz w:val="32"/>
          <w:szCs w:val="32"/>
          <w:highlight w:val="none"/>
          <w:lang w:val="en-US" w:eastAsia="zh-CN"/>
        </w:rPr>
        <w:t>机构</w:t>
      </w:r>
      <w:r>
        <w:rPr>
          <w:rFonts w:hint="eastAsia" w:ascii="方正仿宋_GBK" w:hAnsi="方正仿宋_GBK" w:eastAsia="方正仿宋_GBK" w:cs="方正仿宋_GBK"/>
          <w:color w:val="auto"/>
          <w:kern w:val="0"/>
          <w:sz w:val="32"/>
          <w:szCs w:val="32"/>
          <w:highlight w:val="none"/>
        </w:rPr>
        <w:t>不得存在下列情形之一：</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（1）与招标人存在利害关系可能影响招标公正性的法人、其他组织或者个人；</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（2）</w:t>
      </w:r>
      <w:r>
        <w:rPr>
          <w:rFonts w:hint="eastAsia" w:ascii="方正仿宋_GBK" w:hAnsi="方正仿宋_GBK" w:eastAsia="方正仿宋_GBK" w:cs="方正仿宋_GBK"/>
          <w:color w:val="auto"/>
          <w:kern w:val="0"/>
          <w:sz w:val="32"/>
          <w:szCs w:val="32"/>
          <w:highlight w:val="none"/>
          <w:lang w:eastAsia="zh-CN"/>
        </w:rPr>
        <w:t>不符合资质要求的</w:t>
      </w:r>
      <w:r>
        <w:rPr>
          <w:rFonts w:hint="eastAsia" w:ascii="方正仿宋_GBK" w:hAnsi="方正仿宋_GBK" w:eastAsia="方正仿宋_GBK" w:cs="方正仿宋_GBK"/>
          <w:color w:val="auto"/>
          <w:kern w:val="0"/>
          <w:sz w:val="32"/>
          <w:szCs w:val="32"/>
          <w:highlight w:val="none"/>
        </w:rPr>
        <w:t>；</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（3）被暂停或取消投标资格的；</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color w:val="auto"/>
          <w:kern w:val="0"/>
          <w:sz w:val="32"/>
          <w:szCs w:val="32"/>
          <w:highlight w:val="none"/>
          <w:lang w:val="en-US" w:eastAsia="zh-CN"/>
        </w:rPr>
        <w:t>（4）</w:t>
      </w:r>
      <w:r>
        <w:rPr>
          <w:rFonts w:hint="eastAsia" w:ascii="方正仿宋_GBK" w:hAnsi="方正仿宋_GBK" w:eastAsia="方正仿宋_GBK" w:cs="方正仿宋_GBK"/>
          <w:color w:val="auto"/>
          <w:kern w:val="0"/>
          <w:sz w:val="32"/>
          <w:szCs w:val="32"/>
          <w:highlight w:val="none"/>
        </w:rPr>
        <w:t>本次招标不接受联合体投标，中标后不得转包</w:t>
      </w:r>
      <w:r>
        <w:rPr>
          <w:rFonts w:hint="eastAsia" w:ascii="方正仿宋_GBK" w:hAnsi="方正仿宋_GBK" w:eastAsia="方正仿宋_GBK" w:cs="方正仿宋_GBK"/>
          <w:color w:val="auto"/>
          <w:kern w:val="0"/>
          <w:sz w:val="32"/>
          <w:szCs w:val="32"/>
          <w:highlight w:val="none"/>
          <w:lang w:eastAsia="zh-CN"/>
        </w:rPr>
        <w:t>。</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5.如中选单位提供虚假证明材料导致成交，比选人在签订合同前发现，将如实把情况汇报给政府监管部门，在签订合同后发现，比选人有权单方面解除合同，对比选人造成的损失由该中选单位承担。</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center"/>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 xml:space="preserve">                      重庆市农业投资集团有限公司                         </w:t>
      </w:r>
      <w:r>
        <w:rPr>
          <w:rFonts w:hint="eastAsia" w:ascii="方正仿宋_GBK" w:hAnsi="方正仿宋_GBK" w:eastAsia="方正仿宋_GBK" w:cs="方正仿宋_GBK"/>
          <w:color w:val="auto"/>
          <w:sz w:val="32"/>
          <w:szCs w:val="32"/>
          <w:highlight w:val="none"/>
          <w:lang w:val="en-US" w:eastAsia="zh-CN"/>
        </w:rPr>
        <w:t xml:space="preserve">            </w:t>
      </w:r>
    </w:p>
    <w:p>
      <w:pPr>
        <w:keepNext w:val="0"/>
        <w:keepLines w:val="0"/>
        <w:pageBreakBefore w:val="0"/>
        <w:kinsoku/>
        <w:wordWrap/>
        <w:overflowPunct/>
        <w:topLinePunct w:val="0"/>
        <w:bidi w:val="0"/>
        <w:snapToGrid/>
        <w:spacing w:line="594" w:lineRule="exact"/>
        <w:ind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kern w:val="0"/>
          <w:sz w:val="32"/>
          <w:szCs w:val="32"/>
          <w:highlight w:val="none"/>
          <w:lang w:val="en-US" w:eastAsia="zh-CN"/>
        </w:rPr>
        <w:t xml:space="preserve">   2025年5月6日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723" w:firstLineChars="200"/>
        <w:jc w:val="center"/>
        <w:textAlignment w:val="auto"/>
        <w:outlineLvl w:val="9"/>
        <w:rPr>
          <w:rFonts w:hint="default" w:ascii="Times New Roman" w:hAnsi="Times New Roman" w:eastAsia="方正黑体_GBK" w:cs="Times New Roman"/>
          <w:b/>
          <w:color w:val="auto"/>
          <w:sz w:val="36"/>
          <w:szCs w:val="36"/>
          <w:highlight w:val="none"/>
        </w:rPr>
      </w:pPr>
      <w:bookmarkStart w:id="1" w:name="_Toc440035097"/>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方正黑体_GBK" w:cs="Times New Roman"/>
          <w:b/>
          <w:color w:val="auto"/>
          <w:sz w:val="36"/>
          <w:szCs w:val="36"/>
          <w:highlight w:val="none"/>
        </w:rPr>
        <w:t>第</w:t>
      </w:r>
      <w:r>
        <w:rPr>
          <w:rFonts w:hint="eastAsia" w:eastAsia="方正黑体_GBK" w:cs="Times New Roman"/>
          <w:b/>
          <w:color w:val="auto"/>
          <w:sz w:val="36"/>
          <w:szCs w:val="36"/>
          <w:highlight w:val="none"/>
          <w:lang w:val="en-US" w:eastAsia="zh-CN"/>
        </w:rPr>
        <w:t>二</w:t>
      </w:r>
      <w:r>
        <w:rPr>
          <w:rFonts w:hint="default" w:ascii="Times New Roman" w:hAnsi="Times New Roman" w:eastAsia="方正黑体_GBK" w:cs="Times New Roman"/>
          <w:b/>
          <w:color w:val="auto"/>
          <w:sz w:val="36"/>
          <w:szCs w:val="36"/>
          <w:highlight w:val="none"/>
          <w:lang w:eastAsia="zh-CN"/>
        </w:rPr>
        <w:t>部分</w:t>
      </w:r>
      <w:r>
        <w:rPr>
          <w:rFonts w:hint="default" w:ascii="Times New Roman" w:hAnsi="Times New Roman" w:eastAsia="方正黑体_GBK" w:cs="Times New Roman"/>
          <w:b/>
          <w:color w:val="auto"/>
          <w:sz w:val="36"/>
          <w:szCs w:val="36"/>
          <w:highlight w:val="none"/>
        </w:rPr>
        <w:t xml:space="preserve"> </w:t>
      </w:r>
      <w:r>
        <w:rPr>
          <w:rFonts w:hint="eastAsia" w:eastAsia="方正黑体_GBK" w:cs="Times New Roman"/>
          <w:b/>
          <w:color w:val="auto"/>
          <w:sz w:val="36"/>
          <w:szCs w:val="36"/>
          <w:highlight w:val="none"/>
          <w:lang w:val="en-US" w:eastAsia="zh-CN"/>
        </w:rPr>
        <w:t>开标</w:t>
      </w:r>
      <w:r>
        <w:rPr>
          <w:rFonts w:hint="default" w:ascii="Times New Roman" w:hAnsi="Times New Roman" w:eastAsia="方正黑体_GBK" w:cs="Times New Roman"/>
          <w:b/>
          <w:color w:val="auto"/>
          <w:sz w:val="36"/>
          <w:szCs w:val="36"/>
          <w:highlight w:val="none"/>
          <w:lang w:val="en-US" w:eastAsia="zh-CN"/>
        </w:rPr>
        <w:t>评分规则及计算标准</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auto"/>
          <w:kern w:val="0"/>
          <w:sz w:val="32"/>
          <w:szCs w:val="32"/>
          <w:highlight w:val="none"/>
        </w:rPr>
      </w:pPr>
      <w:r>
        <w:rPr>
          <w:rFonts w:hint="eastAsia" w:ascii="方正仿宋_GBK" w:hAnsi="方正仿宋_GBK" w:eastAsia="方正仿宋_GBK" w:cs="方正仿宋_GBK"/>
          <w:b w:val="0"/>
          <w:bCs w:val="0"/>
          <w:color w:val="auto"/>
          <w:kern w:val="0"/>
          <w:sz w:val="32"/>
          <w:szCs w:val="32"/>
          <w:highlight w:val="none"/>
        </w:rPr>
        <w:t>通过</w:t>
      </w:r>
      <w:r>
        <w:rPr>
          <w:rFonts w:hint="eastAsia" w:ascii="方正仿宋_GBK" w:hAnsi="方正仿宋_GBK" w:eastAsia="方正仿宋_GBK" w:cs="方正仿宋_GBK"/>
          <w:b w:val="0"/>
          <w:bCs w:val="0"/>
          <w:color w:val="auto"/>
          <w:kern w:val="0"/>
          <w:sz w:val="32"/>
          <w:szCs w:val="32"/>
          <w:highlight w:val="none"/>
          <w:lang w:val="en-US" w:eastAsia="zh-CN"/>
        </w:rPr>
        <w:t>组织评审小组评分，</w:t>
      </w:r>
      <w:r>
        <w:rPr>
          <w:rFonts w:hint="eastAsia" w:ascii="方正仿宋_GBK" w:hAnsi="方正仿宋_GBK" w:eastAsia="方正仿宋_GBK" w:cs="方正仿宋_GBK"/>
          <w:b w:val="0"/>
          <w:bCs w:val="0"/>
          <w:color w:val="auto"/>
          <w:kern w:val="0"/>
          <w:sz w:val="32"/>
          <w:szCs w:val="32"/>
          <w:highlight w:val="none"/>
        </w:rPr>
        <w:t>汇总各项评标项目分值，按得分从高到低推选</w:t>
      </w:r>
      <w:r>
        <w:rPr>
          <w:rFonts w:hint="eastAsia" w:ascii="方正仿宋_GBK" w:hAnsi="方正仿宋_GBK" w:eastAsia="方正仿宋_GBK" w:cs="方正仿宋_GBK"/>
          <w:b w:val="0"/>
          <w:bCs w:val="0"/>
          <w:color w:val="auto"/>
          <w:kern w:val="0"/>
          <w:sz w:val="32"/>
          <w:szCs w:val="32"/>
          <w:highlight w:val="none"/>
          <w:lang w:val="en-US" w:eastAsia="zh-CN"/>
        </w:rPr>
        <w:t>3</w:t>
      </w:r>
      <w:r>
        <w:rPr>
          <w:rFonts w:hint="eastAsia" w:ascii="方正仿宋_GBK" w:hAnsi="方正仿宋_GBK" w:eastAsia="方正仿宋_GBK" w:cs="方正仿宋_GBK"/>
          <w:b w:val="0"/>
          <w:bCs w:val="0"/>
          <w:color w:val="auto"/>
          <w:kern w:val="0"/>
          <w:sz w:val="32"/>
          <w:szCs w:val="32"/>
          <w:highlight w:val="none"/>
        </w:rPr>
        <w:t>家中标候选人。</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3" w:firstLineChars="200"/>
        <w:jc w:val="left"/>
        <w:textAlignment w:val="auto"/>
        <w:outlineLvl w:val="9"/>
        <w:rPr>
          <w:rFonts w:hint="eastAsia" w:ascii="方正仿宋_GBK" w:hAnsi="方正仿宋_GBK" w:eastAsia="方正仿宋_GBK" w:cs="方正仿宋_GBK"/>
          <w:b/>
          <w:bCs/>
          <w:color w:val="auto"/>
          <w:kern w:val="0"/>
          <w:sz w:val="32"/>
          <w:szCs w:val="32"/>
          <w:highlight w:val="none"/>
        </w:rPr>
      </w:pPr>
      <w:r>
        <w:rPr>
          <w:rFonts w:hint="eastAsia" w:ascii="方正仿宋_GBK" w:hAnsi="方正仿宋_GBK" w:eastAsia="方正仿宋_GBK" w:cs="方正仿宋_GBK"/>
          <w:b/>
          <w:bCs/>
          <w:color w:val="auto"/>
          <w:kern w:val="0"/>
          <w:sz w:val="32"/>
          <w:szCs w:val="32"/>
          <w:highlight w:val="none"/>
        </w:rPr>
        <w:t>一、评标评分细则</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auto"/>
          <w:kern w:val="0"/>
          <w:sz w:val="32"/>
          <w:szCs w:val="32"/>
          <w:highlight w:val="none"/>
          <w:lang w:eastAsia="zh-CN"/>
        </w:rPr>
      </w:pPr>
      <w:r>
        <w:rPr>
          <w:rFonts w:hint="eastAsia" w:ascii="方正仿宋_GBK" w:hAnsi="方正仿宋_GBK" w:eastAsia="方正仿宋_GBK" w:cs="方正仿宋_GBK"/>
          <w:b w:val="0"/>
          <w:bCs w:val="0"/>
          <w:color w:val="auto"/>
          <w:kern w:val="0"/>
          <w:sz w:val="32"/>
          <w:szCs w:val="32"/>
          <w:highlight w:val="none"/>
        </w:rPr>
        <w:t>综合评分法</w:t>
      </w:r>
      <w:r>
        <w:rPr>
          <w:rFonts w:hint="eastAsia" w:ascii="方正仿宋_GBK" w:hAnsi="方正仿宋_GBK" w:eastAsia="方正仿宋_GBK" w:cs="方正仿宋_GBK"/>
          <w:b w:val="0"/>
          <w:bCs w:val="0"/>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3" w:firstLineChars="200"/>
        <w:jc w:val="left"/>
        <w:textAlignment w:val="auto"/>
        <w:outlineLvl w:val="9"/>
        <w:rPr>
          <w:rFonts w:hint="eastAsia" w:ascii="方正仿宋_GBK" w:hAnsi="方正仿宋_GBK" w:eastAsia="方正仿宋_GBK" w:cs="方正仿宋_GBK"/>
          <w:b/>
          <w:bCs/>
          <w:color w:val="auto"/>
          <w:kern w:val="0"/>
          <w:sz w:val="32"/>
          <w:szCs w:val="32"/>
          <w:highlight w:val="none"/>
        </w:rPr>
      </w:pPr>
      <w:r>
        <w:rPr>
          <w:rFonts w:hint="eastAsia" w:ascii="方正仿宋_GBK" w:hAnsi="方正仿宋_GBK" w:eastAsia="方正仿宋_GBK" w:cs="方正仿宋_GBK"/>
          <w:b/>
          <w:bCs/>
          <w:color w:val="auto"/>
          <w:kern w:val="0"/>
          <w:sz w:val="32"/>
          <w:szCs w:val="32"/>
          <w:highlight w:val="none"/>
        </w:rPr>
        <w:t>二、定标和通知</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auto"/>
          <w:kern w:val="0"/>
          <w:sz w:val="32"/>
          <w:szCs w:val="32"/>
          <w:highlight w:val="none"/>
        </w:rPr>
      </w:pPr>
      <w:r>
        <w:rPr>
          <w:rFonts w:hint="eastAsia" w:ascii="方正仿宋_GBK" w:hAnsi="方正仿宋_GBK" w:eastAsia="方正仿宋_GBK" w:cs="方正仿宋_GBK"/>
          <w:b w:val="0"/>
          <w:bCs w:val="0"/>
          <w:color w:val="auto"/>
          <w:kern w:val="0"/>
          <w:sz w:val="32"/>
          <w:szCs w:val="32"/>
          <w:highlight w:val="none"/>
        </w:rPr>
        <w:t>1</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auto"/>
          <w:kern w:val="0"/>
          <w:sz w:val="32"/>
          <w:szCs w:val="32"/>
          <w:highlight w:val="none"/>
        </w:rPr>
        <w:t>招标方在中标候选人范围内依据排序进行选择，</w:t>
      </w:r>
      <w:r>
        <w:rPr>
          <w:rFonts w:hint="eastAsia" w:ascii="方正仿宋_GBK" w:hAnsi="方正仿宋_GBK" w:eastAsia="方正仿宋_GBK" w:cs="方正仿宋_GBK"/>
          <w:b w:val="0"/>
          <w:bCs w:val="0"/>
          <w:color w:val="auto"/>
          <w:kern w:val="0"/>
          <w:sz w:val="32"/>
          <w:szCs w:val="32"/>
          <w:highlight w:val="none"/>
          <w:lang w:val="en-US" w:eastAsia="zh-CN"/>
        </w:rPr>
        <w:t>得分最高者</w:t>
      </w:r>
      <w:r>
        <w:rPr>
          <w:rFonts w:hint="eastAsia" w:ascii="方正仿宋_GBK" w:hAnsi="方正仿宋_GBK" w:eastAsia="方正仿宋_GBK" w:cs="方正仿宋_GBK"/>
          <w:b w:val="0"/>
          <w:bCs w:val="0"/>
          <w:color w:val="auto"/>
          <w:kern w:val="0"/>
          <w:sz w:val="32"/>
          <w:szCs w:val="32"/>
          <w:highlight w:val="none"/>
        </w:rPr>
        <w:t>确定</w:t>
      </w:r>
      <w:r>
        <w:rPr>
          <w:rFonts w:hint="eastAsia" w:ascii="方正仿宋_GBK" w:hAnsi="方正仿宋_GBK" w:eastAsia="方正仿宋_GBK" w:cs="方正仿宋_GBK"/>
          <w:b w:val="0"/>
          <w:bCs w:val="0"/>
          <w:color w:val="auto"/>
          <w:kern w:val="0"/>
          <w:sz w:val="32"/>
          <w:szCs w:val="32"/>
          <w:highlight w:val="none"/>
          <w:lang w:val="en-US" w:eastAsia="zh-CN"/>
        </w:rPr>
        <w:t>为</w:t>
      </w:r>
      <w:r>
        <w:rPr>
          <w:rFonts w:hint="eastAsia" w:ascii="方正仿宋_GBK" w:hAnsi="方正仿宋_GBK" w:eastAsia="方正仿宋_GBK" w:cs="方正仿宋_GBK"/>
          <w:b w:val="0"/>
          <w:bCs w:val="0"/>
          <w:color w:val="auto"/>
          <w:kern w:val="0"/>
          <w:sz w:val="32"/>
          <w:szCs w:val="32"/>
          <w:highlight w:val="none"/>
        </w:rPr>
        <w:t>中标人。</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auto"/>
          <w:kern w:val="0"/>
          <w:sz w:val="32"/>
          <w:szCs w:val="32"/>
          <w:highlight w:val="none"/>
        </w:rPr>
      </w:pPr>
      <w:r>
        <w:rPr>
          <w:rFonts w:hint="eastAsia" w:ascii="方正仿宋_GBK" w:hAnsi="方正仿宋_GBK" w:eastAsia="方正仿宋_GBK" w:cs="方正仿宋_GBK"/>
          <w:b w:val="0"/>
          <w:bCs w:val="0"/>
          <w:color w:val="auto"/>
          <w:kern w:val="0"/>
          <w:sz w:val="32"/>
          <w:szCs w:val="32"/>
          <w:highlight w:val="none"/>
        </w:rPr>
        <w:t>2</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auto"/>
          <w:kern w:val="0"/>
          <w:sz w:val="32"/>
          <w:szCs w:val="32"/>
          <w:highlight w:val="none"/>
        </w:rPr>
        <w:t>报价最低的参选方有不中标的可能，对未中标的原因招标方可不予解释。</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auto"/>
          <w:kern w:val="0"/>
          <w:sz w:val="32"/>
          <w:szCs w:val="32"/>
          <w:highlight w:val="none"/>
        </w:rPr>
      </w:pPr>
      <w:r>
        <w:rPr>
          <w:rFonts w:hint="eastAsia" w:ascii="方正仿宋_GBK" w:hAnsi="方正仿宋_GBK" w:eastAsia="方正仿宋_GBK" w:cs="方正仿宋_GBK"/>
          <w:b w:val="0"/>
          <w:bCs w:val="0"/>
          <w:color w:val="auto"/>
          <w:kern w:val="0"/>
          <w:sz w:val="32"/>
          <w:szCs w:val="32"/>
          <w:highlight w:val="none"/>
        </w:rPr>
        <w:t>3</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auto"/>
          <w:kern w:val="0"/>
          <w:sz w:val="32"/>
          <w:szCs w:val="32"/>
          <w:highlight w:val="none"/>
        </w:rPr>
        <w:t>中标及落标</w:t>
      </w:r>
      <w:r>
        <w:rPr>
          <w:rFonts w:hint="eastAsia" w:ascii="方正仿宋_GBK" w:hAnsi="方正仿宋_GBK" w:eastAsia="方正仿宋_GBK" w:cs="方正仿宋_GBK"/>
          <w:b w:val="0"/>
          <w:bCs w:val="0"/>
          <w:color w:val="auto"/>
          <w:kern w:val="0"/>
          <w:sz w:val="32"/>
          <w:szCs w:val="32"/>
          <w:highlight w:val="none"/>
          <w:lang w:eastAsia="zh-CN"/>
        </w:rPr>
        <w:t>：</w:t>
      </w:r>
      <w:r>
        <w:rPr>
          <w:rFonts w:hint="eastAsia" w:ascii="方正仿宋_GBK" w:hAnsi="方正仿宋_GBK" w:eastAsia="方正仿宋_GBK" w:cs="方正仿宋_GBK"/>
          <w:b w:val="0"/>
          <w:bCs w:val="0"/>
          <w:color w:val="auto"/>
          <w:kern w:val="0"/>
          <w:sz w:val="32"/>
          <w:szCs w:val="32"/>
          <w:highlight w:val="none"/>
        </w:rPr>
        <w:t>定标后，招标方将通知中标人；如参选方在比选工作结束后7日内没有接到招标方发出的中标通知，</w:t>
      </w:r>
      <w:r>
        <w:rPr>
          <w:rFonts w:hint="eastAsia" w:ascii="方正仿宋_GBK" w:hAnsi="方正仿宋_GBK" w:eastAsia="方正仿宋_GBK" w:cs="方正仿宋_GBK"/>
          <w:b w:val="0"/>
          <w:bCs w:val="0"/>
          <w:color w:val="auto"/>
          <w:kern w:val="0"/>
          <w:sz w:val="32"/>
          <w:szCs w:val="32"/>
          <w:highlight w:val="none"/>
          <w:lang w:val="en-US" w:eastAsia="zh-CN"/>
        </w:rPr>
        <w:t>投标</w:t>
      </w:r>
      <w:r>
        <w:rPr>
          <w:rFonts w:hint="eastAsia" w:ascii="方正仿宋_GBK" w:hAnsi="方正仿宋_GBK" w:eastAsia="方正仿宋_GBK" w:cs="方正仿宋_GBK"/>
          <w:b w:val="0"/>
          <w:bCs w:val="0"/>
          <w:color w:val="auto"/>
          <w:kern w:val="0"/>
          <w:sz w:val="32"/>
          <w:szCs w:val="32"/>
          <w:highlight w:val="none"/>
        </w:rPr>
        <w:t>方应视为在本次投标工作中落标。</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auto"/>
          <w:kern w:val="0"/>
          <w:sz w:val="32"/>
          <w:szCs w:val="32"/>
          <w:highlight w:val="none"/>
        </w:rPr>
      </w:pPr>
      <w:r>
        <w:rPr>
          <w:rFonts w:hint="eastAsia" w:ascii="方正仿宋_GBK" w:hAnsi="方正仿宋_GBK" w:eastAsia="方正仿宋_GBK" w:cs="方正仿宋_GBK"/>
          <w:b w:val="0"/>
          <w:bCs w:val="0"/>
          <w:color w:val="auto"/>
          <w:kern w:val="0"/>
          <w:sz w:val="32"/>
          <w:szCs w:val="32"/>
          <w:highlight w:val="none"/>
        </w:rPr>
        <w:t>4</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auto"/>
          <w:kern w:val="0"/>
          <w:sz w:val="32"/>
          <w:szCs w:val="32"/>
          <w:highlight w:val="none"/>
        </w:rPr>
        <w:t>收到三家（含三家）以上符合招标要求的参选方，开标有效。</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lang w:val="en-US" w:eastAsia="zh-CN"/>
        </w:rPr>
        <w:br w:type="page"/>
      </w:r>
      <w:r>
        <w:rPr>
          <w:rFonts w:hint="eastAsia" w:ascii="方正仿宋_GBK" w:hAnsi="方正仿宋_GBK" w:eastAsia="方正仿宋_GBK" w:cs="方正仿宋_GBK"/>
          <w:b/>
          <w:color w:val="auto"/>
          <w:sz w:val="32"/>
          <w:szCs w:val="32"/>
          <w:highlight w:val="none"/>
          <w:lang w:val="en-US" w:eastAsia="zh-CN"/>
        </w:rPr>
        <w:t>三、</w:t>
      </w:r>
      <w:r>
        <w:rPr>
          <w:rFonts w:hint="eastAsia" w:ascii="方正仿宋_GBK" w:hAnsi="方正仿宋_GBK" w:eastAsia="方正仿宋_GBK" w:cs="方正仿宋_GBK"/>
          <w:b/>
          <w:color w:val="auto"/>
          <w:sz w:val="32"/>
          <w:szCs w:val="32"/>
          <w:highlight w:val="none"/>
        </w:rPr>
        <w:t>评分标准</w:t>
      </w:r>
    </w:p>
    <w:tbl>
      <w:tblPr>
        <w:tblStyle w:val="12"/>
        <w:tblW w:w="92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21"/>
        <w:gridCol w:w="1221"/>
        <w:gridCol w:w="6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53"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价格评审</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commentRangeStart w:id="0"/>
            <w:r>
              <w:rPr>
                <w:rFonts w:hint="eastAsia" w:ascii="宋体" w:hAnsi="宋体" w:eastAsia="宋体" w:cs="宋体"/>
                <w:i w:val="0"/>
                <w:color w:val="000000"/>
                <w:kern w:val="0"/>
                <w:sz w:val="22"/>
                <w:szCs w:val="22"/>
                <w:lang w:val="en-US" w:eastAsia="zh-CN" w:bidi="ar"/>
              </w:rPr>
              <w:t>50分</w:t>
            </w:r>
            <w:commentRangeEnd w:id="0"/>
            <w:r>
              <w:commentReference w:id="0"/>
            </w:r>
          </w:p>
        </w:tc>
        <w:tc>
          <w:tcPr>
            <w:tcW w:w="6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1.项目最高限价10万元。</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2.以所有有效报价的平均价格为基准价，按照下列公式计算每个供应商的报价得分。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报价得分=（1-|报价-基准价|/基准价）×分值。</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报价得分保留小数点后两位，四舍五入。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14" w:hRule="atLeast"/>
        </w:trPr>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商务评审</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20分</w:t>
            </w:r>
          </w:p>
        </w:tc>
        <w:tc>
          <w:tcPr>
            <w:tcW w:w="6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1.项目负责人为投标人单位正式员工，</w:t>
            </w:r>
            <w:r>
              <w:rPr>
                <w:rFonts w:hint="eastAsia" w:asciiTheme="minorEastAsia" w:hAnsiTheme="minorEastAsia" w:eastAsiaTheme="minorEastAsia" w:cstheme="minorEastAsia"/>
                <w:color w:val="000000"/>
                <w:kern w:val="0"/>
                <w:sz w:val="22"/>
                <w:szCs w:val="22"/>
                <w:lang w:bidi="ar"/>
              </w:rPr>
              <w:t>要求项目负责人及团队成员驻场办公</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val="en-US" w:eastAsia="zh-CN" w:bidi="ar"/>
              </w:rPr>
              <w:t>不满足条件0分</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i w:val="0"/>
                <w:color w:val="000000"/>
                <w:kern w:val="0"/>
                <w:sz w:val="22"/>
                <w:szCs w:val="22"/>
                <w:lang w:val="en-US" w:eastAsia="zh-CN" w:bidi="ar"/>
              </w:rPr>
              <w:t>持</w:t>
            </w:r>
            <w:r>
              <w:rPr>
                <w:rFonts w:hint="eastAsia" w:asciiTheme="minorEastAsia" w:hAnsiTheme="minorEastAsia" w:eastAsiaTheme="minorEastAsia" w:cstheme="minorEastAsia"/>
                <w:i w:val="0"/>
                <w:color w:val="000000"/>
                <w:kern w:val="0"/>
                <w:sz w:val="22"/>
                <w:szCs w:val="22"/>
                <w:u w:val="none"/>
                <w:lang w:val="en-US" w:eastAsia="zh-CN" w:bidi="ar"/>
              </w:rPr>
              <w:t>有经年检合格的税务师证书，且具有5年以上工作经验（以毕业证书毕业时间开始计算），提供证书扫描件及近3个月社保缴纳证明（缴纳单位须为报价人单位），得5分；满足前述要求基础上，项目负责人持有注册会计师证书，加5分，同时持有</w:t>
            </w:r>
            <w:r>
              <w:rPr>
                <w:rFonts w:hint="eastAsia" w:asciiTheme="minorEastAsia" w:hAnsiTheme="minorEastAsia" w:eastAsiaTheme="minorEastAsia" w:cstheme="minorEastAsia"/>
                <w:i w:val="0"/>
                <w:color w:val="000000"/>
                <w:kern w:val="0"/>
                <w:sz w:val="22"/>
                <w:szCs w:val="22"/>
                <w:lang w:val="en-US" w:eastAsia="zh-CN" w:bidi="ar"/>
              </w:rPr>
              <w:t>法律</w:t>
            </w:r>
            <w:r>
              <w:rPr>
                <w:rFonts w:hint="eastAsia" w:asciiTheme="minorEastAsia" w:hAnsiTheme="minorEastAsia" w:eastAsiaTheme="minorEastAsia" w:cstheme="minorEastAsia"/>
                <w:i w:val="0"/>
                <w:color w:val="000000"/>
                <w:kern w:val="0"/>
                <w:sz w:val="22"/>
                <w:szCs w:val="22"/>
                <w:u w:val="none"/>
                <w:lang w:val="en-US" w:eastAsia="zh-CN" w:bidi="ar"/>
              </w:rPr>
              <w:t>职业资格证，加4分，本项满分14分。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2.团队成员不少于2人，其中每有1个人员持有税务师证书，且具有5年以上工作经验（以毕业证书毕业时间开始计算）加3分，本项满分6分。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06" w:hRule="atLeast"/>
        </w:trPr>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技术评审</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30分</w:t>
            </w:r>
          </w:p>
        </w:tc>
        <w:tc>
          <w:tcPr>
            <w:tcW w:w="6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1.对本项目的认识及分析（10分）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包含但不限于项目的背景、目的、服务全过程中应承担的工作内容等方面内容。</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（1）内容详细完善、全面完整得8-10分；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（2）内容较完善、较全面得5-7分；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（3）内容一般，要点不全得1-4分。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注：未提供不得分。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7" w:hRule="atLeast"/>
        </w:trPr>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2.服务方案（10分）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准确理解项目需求内容，方案重点明确，思路清晰、特点突出，投标人提供详细的项目服务方案：</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（1）能准确理解项目的意义和背景，能够准确描述项目的输出成果，得8-10分；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（2）能够一般理解项目的需求、目标、意义、开展思路和框架，得5-7分；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（3）对项目的需求、目标、意义理解不准确，开展思路和框架不清晰，得1-4分。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注：未提供不得分。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89" w:hRule="atLeast"/>
        </w:trPr>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3.质量保证措施（10分）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对投标人提供的质量保证措施进行评审：</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（1）方案内容详细完善、切实可行得8-10分；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（2）方案内容较全面、具备定的可实施性得5-7分；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（3）方案内容一般，实施性较差得1-4分。</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注：未提供不得分。</w:t>
            </w:r>
          </w:p>
        </w:tc>
      </w:tr>
    </w:tbl>
    <w:p>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594" w:lineRule="exact"/>
        <w:ind w:firstLine="0"/>
        <w:jc w:val="both"/>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594" w:lineRule="exact"/>
        <w:ind w:firstLine="0"/>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Times New Roman" w:hAnsi="Times New Roman" w:eastAsia="方正黑体_GBK" w:cs="Times New Roman"/>
          <w:b/>
          <w:color w:val="auto"/>
          <w:kern w:val="2"/>
          <w:sz w:val="36"/>
          <w:szCs w:val="36"/>
          <w:highlight w:val="none"/>
          <w:lang w:val="en-US" w:eastAsia="zh-CN" w:bidi="ar-SA"/>
        </w:rPr>
        <w:t>第三部分 合同主要内容</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甲方（委托方）：</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统一社会信用代码：</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地址：</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电话：</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法定代表人：</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乙方（受托方）：</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rPr>
        <w:t>统一社会信用代码</w:t>
      </w:r>
      <w:r>
        <w:rPr>
          <w:rFonts w:hint="eastAsia" w:ascii="方正仿宋_GBK" w:hAnsi="方正仿宋_GBK" w:eastAsia="方正仿宋_GBK" w:cs="方正仿宋_GBK"/>
          <w:sz w:val="32"/>
          <w:szCs w:val="32"/>
        </w:rPr>
        <w:t>：</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法定代表人：</w:t>
      </w:r>
    </w:p>
    <w:p>
      <w:pPr>
        <w:keepNext w:val="0"/>
        <w:keepLines w:val="0"/>
        <w:pageBreakBefore w:val="0"/>
        <w:widowControl/>
        <w:tabs>
          <w:tab w:val="left" w:pos="360"/>
        </w:tabs>
        <w:kinsoku/>
        <w:wordWrap/>
        <w:overflowPunct/>
        <w:topLinePunct w:val="0"/>
        <w:autoSpaceDE/>
        <w:autoSpaceDN/>
        <w:bidi w:val="0"/>
        <w:adjustRightInd/>
        <w:snapToGrid w:val="0"/>
        <w:spacing w:after="156" w:afterLines="5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p>
    <w:p>
      <w:pPr>
        <w:keepNext w:val="0"/>
        <w:keepLines w:val="0"/>
        <w:pageBreakBefore w:val="0"/>
        <w:widowControl/>
        <w:tabs>
          <w:tab w:val="left" w:pos="360"/>
        </w:tabs>
        <w:kinsoku/>
        <w:wordWrap/>
        <w:overflowPunct/>
        <w:topLinePunct w:val="0"/>
        <w:autoSpaceDE/>
        <w:autoSpaceDN/>
        <w:bidi w:val="0"/>
        <w:adjustRightInd/>
        <w:snapToGrid w:val="0"/>
        <w:spacing w:after="156" w:afterLines="50" w:line="594" w:lineRule="exact"/>
        <w:ind w:left="320" w:leftChars="100" w:right="0" w:rightChars="0" w:firstLine="320" w:firstLineChars="1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兹有甲方委托乙方进行税务咨询等相关服务，服务期间为</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color w:val="auto"/>
          <w:kern w:val="0"/>
          <w:sz w:val="32"/>
          <w:szCs w:val="32"/>
          <w:lang w:val="en-US" w:eastAsia="zh-CN"/>
        </w:rPr>
        <w:t>年  月  日</w:t>
      </w:r>
      <w:r>
        <w:rPr>
          <w:rFonts w:hint="eastAsia" w:ascii="方正仿宋_GBK" w:hAnsi="方正仿宋_GBK" w:eastAsia="方正仿宋_GBK" w:cs="方正仿宋_GBK"/>
          <w:color w:val="auto"/>
          <w:kern w:val="0"/>
          <w:sz w:val="32"/>
          <w:szCs w:val="32"/>
        </w:rPr>
        <w:t>至</w:t>
      </w:r>
      <w:r>
        <w:rPr>
          <w:rFonts w:hint="eastAsia" w:ascii="方正仿宋_GBK" w:hAnsi="方正仿宋_GBK" w:eastAsia="方正仿宋_GBK" w:cs="方正仿宋_GBK"/>
          <w:color w:val="auto"/>
          <w:kern w:val="0"/>
          <w:sz w:val="32"/>
          <w:szCs w:val="32"/>
          <w:lang w:val="en-US" w:eastAsia="zh-CN"/>
        </w:rPr>
        <w:t xml:space="preserve">   年  月  日</w:t>
      </w:r>
      <w:r>
        <w:rPr>
          <w:rFonts w:hint="eastAsia" w:ascii="方正仿宋_GBK" w:hAnsi="方正仿宋_GBK" w:eastAsia="方正仿宋_GBK" w:cs="方正仿宋_GBK"/>
          <w:color w:val="auto"/>
          <w:kern w:val="0"/>
          <w:sz w:val="32"/>
          <w:szCs w:val="32"/>
        </w:rPr>
        <w:t>，依据《中华人民共和国民法典》的有关规定，经双方协商，达成以下约定</w:t>
      </w:r>
      <w:r>
        <w:rPr>
          <w:rFonts w:hint="eastAsia" w:ascii="方正仿宋_GBK" w:hAnsi="方正仿宋_GBK" w:eastAsia="方正仿宋_GBK" w:cs="方正仿宋_GBK"/>
          <w:kern w:val="0"/>
          <w:sz w:val="32"/>
          <w:szCs w:val="32"/>
        </w:rPr>
        <w:t>：</w:t>
      </w:r>
    </w:p>
    <w:p>
      <w:pPr>
        <w:keepNext w:val="0"/>
        <w:keepLines w:val="0"/>
        <w:pageBreakBefore w:val="0"/>
        <w:widowControl/>
        <w:tabs>
          <w:tab w:val="left" w:pos="360"/>
        </w:tabs>
        <w:kinsoku/>
        <w:wordWrap/>
        <w:overflowPunct/>
        <w:topLinePunct w:val="0"/>
        <w:autoSpaceDE/>
        <w:autoSpaceDN/>
        <w:bidi w:val="0"/>
        <w:adjustRightInd/>
        <w:snapToGrid w:val="0"/>
        <w:spacing w:after="156" w:afterLines="50" w:line="594" w:lineRule="exact"/>
        <w:ind w:right="0" w:rightChars="0"/>
        <w:jc w:val="left"/>
        <w:textAlignment w:val="auto"/>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lang w:val="en-US" w:eastAsia="zh-CN"/>
        </w:rPr>
        <w:t xml:space="preserve">    </w:t>
      </w:r>
      <w:r>
        <w:rPr>
          <w:rFonts w:hint="eastAsia" w:ascii="方正仿宋_GBK" w:hAnsi="方正仿宋_GBK" w:eastAsia="方正仿宋_GBK" w:cs="方正仿宋_GBK"/>
          <w:b/>
          <w:kern w:val="0"/>
          <w:sz w:val="32"/>
          <w:szCs w:val="32"/>
        </w:rPr>
        <w:t>一、</w:t>
      </w:r>
      <w:r>
        <w:rPr>
          <w:rFonts w:hint="eastAsia" w:ascii="方正仿宋_GBK" w:hAnsi="方正仿宋_GBK" w:eastAsia="方正仿宋_GBK" w:cs="方正仿宋_GBK"/>
          <w:b/>
          <w:kern w:val="0"/>
          <w:sz w:val="32"/>
          <w:szCs w:val="32"/>
          <w:lang w:val="en-US" w:eastAsia="zh-CN"/>
        </w:rPr>
        <w:t>委托</w:t>
      </w:r>
      <w:r>
        <w:rPr>
          <w:rFonts w:hint="eastAsia" w:ascii="方正仿宋_GBK" w:hAnsi="方正仿宋_GBK" w:eastAsia="方正仿宋_GBK" w:cs="方正仿宋_GBK"/>
          <w:b/>
          <w:kern w:val="0"/>
          <w:sz w:val="32"/>
          <w:szCs w:val="32"/>
        </w:rPr>
        <w:t>内容</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left="320" w:leftChars="100" w:right="0" w:rightChars="0" w:firstLine="320" w:firstLineChars="1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乙方通过对甲方生产经营活动的了解，对甲方涉税事项</w:t>
      </w:r>
      <w:r>
        <w:rPr>
          <w:rFonts w:hint="eastAsia" w:ascii="方正仿宋_GBK" w:hAnsi="方正仿宋_GBK" w:eastAsia="方正仿宋_GBK" w:cs="方正仿宋_GBK"/>
          <w:kern w:val="0"/>
          <w:sz w:val="32"/>
          <w:szCs w:val="32"/>
          <w:lang w:val="en-US" w:eastAsia="zh-CN"/>
        </w:rPr>
        <w:t>提供年度顾问</w:t>
      </w:r>
      <w:r>
        <w:rPr>
          <w:rFonts w:hint="eastAsia" w:ascii="方正仿宋_GBK" w:hAnsi="方正仿宋_GBK" w:eastAsia="方正仿宋_GBK" w:cs="方正仿宋_GBK"/>
          <w:kern w:val="0"/>
          <w:sz w:val="32"/>
          <w:szCs w:val="32"/>
        </w:rPr>
        <w:t>服务,具体服务</w:t>
      </w:r>
      <w:r>
        <w:rPr>
          <w:rFonts w:hint="eastAsia" w:ascii="方正仿宋_GBK" w:hAnsi="方正仿宋_GBK" w:eastAsia="方正仿宋_GBK" w:cs="方正仿宋_GBK"/>
          <w:kern w:val="0"/>
          <w:sz w:val="32"/>
          <w:szCs w:val="32"/>
          <w:lang w:val="en-US" w:eastAsia="zh-CN"/>
        </w:rPr>
        <w:t>内</w:t>
      </w:r>
      <w:r>
        <w:rPr>
          <w:rFonts w:hint="eastAsia" w:ascii="方正仿宋_GBK" w:hAnsi="方正仿宋_GBK" w:eastAsia="方正仿宋_GBK" w:cs="方正仿宋_GBK"/>
          <w:kern w:val="0"/>
          <w:sz w:val="32"/>
          <w:szCs w:val="32"/>
        </w:rPr>
        <w:t>容如下：</w:t>
      </w:r>
    </w:p>
    <w:p>
      <w:pPr>
        <w:pStyle w:val="2"/>
        <w:keepNext w:val="0"/>
        <w:keepLines w:val="0"/>
        <w:pageBreakBefore w:val="0"/>
        <w:kinsoku/>
        <w:wordWrap/>
        <w:overflowPunct/>
        <w:topLinePunct w:val="0"/>
        <w:autoSpaceDE/>
        <w:autoSpaceDN/>
        <w:bidi w:val="0"/>
        <w:adjustRightInd/>
        <w:spacing w:line="594" w:lineRule="exact"/>
        <w:ind w:right="0" w:rightChars="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 xml:space="preserve">    1.</w:t>
      </w:r>
      <w:r>
        <w:rPr>
          <w:rFonts w:hint="eastAsia" w:ascii="方正仿宋_GBK" w:hAnsi="方正仿宋_GBK" w:eastAsia="方正仿宋_GBK" w:cs="方正仿宋_GBK"/>
          <w:sz w:val="32"/>
          <w:szCs w:val="32"/>
        </w:rPr>
        <w:t>为集团</w:t>
      </w:r>
      <w:r>
        <w:rPr>
          <w:rFonts w:hint="eastAsia" w:ascii="方正仿宋_GBK" w:hAnsi="方正仿宋_GBK" w:eastAsia="方正仿宋_GBK" w:cs="方正仿宋_GBK"/>
          <w:sz w:val="32"/>
          <w:szCs w:val="32"/>
          <w:lang w:val="en-US" w:eastAsia="zh-CN"/>
        </w:rPr>
        <w:t>本部</w:t>
      </w:r>
      <w:r>
        <w:rPr>
          <w:rFonts w:hint="eastAsia" w:ascii="方正仿宋_GBK" w:hAnsi="方正仿宋_GBK" w:eastAsia="方正仿宋_GBK" w:cs="方正仿宋_GBK"/>
          <w:sz w:val="32"/>
          <w:szCs w:val="32"/>
        </w:rPr>
        <w:t>及所属企业</w:t>
      </w:r>
      <w:r>
        <w:rPr>
          <w:rFonts w:hint="eastAsia" w:ascii="方正仿宋_GBK" w:hAnsi="方正仿宋_GBK" w:eastAsia="方正仿宋_GBK" w:cs="方正仿宋_GBK"/>
          <w:sz w:val="32"/>
          <w:szCs w:val="32"/>
          <w:lang w:val="en-US" w:eastAsia="zh-CN"/>
        </w:rPr>
        <w:t>在</w:t>
      </w:r>
      <w:r>
        <w:rPr>
          <w:rFonts w:hint="eastAsia" w:ascii="方正仿宋_GBK" w:hAnsi="方正仿宋_GBK" w:eastAsia="方正仿宋_GBK" w:cs="方正仿宋_GBK"/>
          <w:color w:val="auto"/>
          <w:kern w:val="0"/>
          <w:sz w:val="32"/>
          <w:szCs w:val="32"/>
          <w:highlight w:val="none"/>
          <w:lang w:val="en-US" w:eastAsia="zh-CN"/>
        </w:rPr>
        <w:t>日常经营过程中遇到的财税问题</w:t>
      </w:r>
      <w:r>
        <w:rPr>
          <w:rFonts w:hint="eastAsia" w:ascii="方正仿宋_GBK" w:hAnsi="方正仿宋_GBK" w:eastAsia="方正仿宋_GBK" w:cs="方正仿宋_GBK"/>
          <w:sz w:val="32"/>
          <w:szCs w:val="32"/>
        </w:rPr>
        <w:t>提出专业建议、出具税务咨询意见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并指导相关</w:t>
      </w:r>
      <w:r>
        <w:rPr>
          <w:rFonts w:hint="eastAsia" w:ascii="方正仿宋_GBK" w:hAnsi="方正仿宋_GBK" w:eastAsia="方正仿宋_GBK" w:cs="方正仿宋_GBK"/>
          <w:color w:val="auto"/>
          <w:kern w:val="0"/>
          <w:sz w:val="32"/>
          <w:szCs w:val="32"/>
          <w:highlight w:val="none"/>
          <w:lang w:val="en-US" w:eastAsia="zh-CN"/>
        </w:rPr>
        <w:t>手续的办理;</w:t>
      </w:r>
    </w:p>
    <w:p>
      <w:pPr>
        <w:pStyle w:val="2"/>
        <w:keepNext w:val="0"/>
        <w:keepLines w:val="0"/>
        <w:pageBreakBefore w:val="0"/>
        <w:kinsoku/>
        <w:wordWrap/>
        <w:overflowPunct/>
        <w:topLinePunct w:val="0"/>
        <w:autoSpaceDE/>
        <w:autoSpaceDN/>
        <w:bidi w:val="0"/>
        <w:adjustRightInd/>
        <w:spacing w:line="594" w:lineRule="exact"/>
        <w:ind w:right="0" w:rightChars="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 xml:space="preserve">    2.解析最新税收政策，辅导财税人员正确理解、执行国家税收规定，并根据需要对经营活动过程中涉及的有关涉税事项，按税收法律法规和会计法规等要求予以辅导;</w:t>
      </w:r>
    </w:p>
    <w:p>
      <w:pPr>
        <w:pStyle w:val="2"/>
        <w:keepNext w:val="0"/>
        <w:keepLines w:val="0"/>
        <w:pageBreakBefore w:val="0"/>
        <w:kinsoku/>
        <w:wordWrap/>
        <w:overflowPunct/>
        <w:topLinePunct w:val="0"/>
        <w:autoSpaceDE/>
        <w:autoSpaceDN/>
        <w:bidi w:val="0"/>
        <w:adjustRightInd/>
        <w:spacing w:line="594" w:lineRule="exact"/>
        <w:ind w:right="0" w:rightChars="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 xml:space="preserve">    3.根据需求，指导或审定各类涉税合同、协议的条款;</w:t>
      </w:r>
    </w:p>
    <w:p>
      <w:pPr>
        <w:pStyle w:val="2"/>
        <w:keepNext w:val="0"/>
        <w:keepLines w:val="0"/>
        <w:pageBreakBefore w:val="0"/>
        <w:kinsoku/>
        <w:wordWrap/>
        <w:overflowPunct/>
        <w:topLinePunct w:val="0"/>
        <w:autoSpaceDE/>
        <w:autoSpaceDN/>
        <w:bidi w:val="0"/>
        <w:adjustRightInd/>
        <w:spacing w:line="594" w:lineRule="exact"/>
        <w:ind w:right="0" w:rightChars="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 xml:space="preserve">    4.每年对集团本部纳税风险进行一次评估，并给出建议;</w:t>
      </w:r>
    </w:p>
    <w:p>
      <w:pPr>
        <w:keepNext w:val="0"/>
        <w:keepLines w:val="0"/>
        <w:pageBreakBefore w:val="0"/>
        <w:numPr>
          <w:ilvl w:val="0"/>
          <w:numId w:val="0"/>
        </w:numPr>
        <w:tabs>
          <w:tab w:val="left" w:pos="851"/>
        </w:tabs>
        <w:kinsoku/>
        <w:wordWrap/>
        <w:overflowPunct/>
        <w:topLinePunct w:val="0"/>
        <w:autoSpaceDE/>
        <w:autoSpaceDN/>
        <w:bidi w:val="0"/>
        <w:adjustRightInd/>
        <w:spacing w:line="594" w:lineRule="exact"/>
        <w:ind w:leftChars="200" w:right="0" w:rightChars="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开展现场税务实务培训至少一次</w:t>
      </w:r>
      <w:r>
        <w:rPr>
          <w:rFonts w:hint="eastAsia" w:ascii="方正仿宋_GBK" w:hAnsi="方正仿宋_GBK" w:eastAsia="方正仿宋_GBK" w:cs="方正仿宋_GBK"/>
          <w:sz w:val="32"/>
          <w:szCs w:val="32"/>
          <w:lang w:eastAsia="zh-CN"/>
        </w:rPr>
        <w:t>；</w:t>
      </w:r>
    </w:p>
    <w:p>
      <w:pPr>
        <w:keepNext w:val="0"/>
        <w:keepLines w:val="0"/>
        <w:pageBreakBefore w:val="0"/>
        <w:numPr>
          <w:ilvl w:val="0"/>
          <w:numId w:val="0"/>
        </w:numPr>
        <w:tabs>
          <w:tab w:val="left" w:pos="851"/>
        </w:tabs>
        <w:kinsoku/>
        <w:wordWrap/>
        <w:overflowPunct/>
        <w:topLinePunct w:val="0"/>
        <w:autoSpaceDE/>
        <w:autoSpaceDN/>
        <w:bidi w:val="0"/>
        <w:adjustRightInd/>
        <w:spacing w:line="594" w:lineRule="exact"/>
        <w:ind w:leftChars="200" w:right="0" w:right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为集团本部提供</w:t>
      </w:r>
      <w:r>
        <w:rPr>
          <w:rFonts w:hint="eastAsia" w:ascii="方正仿宋_GBK" w:hAnsi="方正仿宋_GBK" w:eastAsia="方正仿宋_GBK" w:cs="方正仿宋_GBK"/>
          <w:sz w:val="32"/>
          <w:szCs w:val="32"/>
          <w:lang w:val="en-US" w:eastAsia="zh-CN"/>
        </w:rPr>
        <w:t>年度</w:t>
      </w:r>
      <w:r>
        <w:rPr>
          <w:rFonts w:hint="eastAsia" w:ascii="方正仿宋_GBK" w:hAnsi="方正仿宋_GBK" w:eastAsia="方正仿宋_GBK" w:cs="方正仿宋_GBK"/>
          <w:sz w:val="32"/>
          <w:szCs w:val="32"/>
        </w:rPr>
        <w:t>企业所得税</w:t>
      </w:r>
      <w:r>
        <w:rPr>
          <w:rFonts w:hint="eastAsia" w:ascii="方正仿宋_GBK" w:hAnsi="方正仿宋_GBK" w:eastAsia="方正仿宋_GBK" w:cs="方正仿宋_GBK"/>
          <w:sz w:val="32"/>
          <w:szCs w:val="32"/>
          <w:lang w:val="en-US" w:eastAsia="zh-CN"/>
        </w:rPr>
        <w:t>汇算清缴</w:t>
      </w:r>
      <w:r>
        <w:rPr>
          <w:rFonts w:hint="eastAsia" w:ascii="方正仿宋_GBK" w:hAnsi="方正仿宋_GBK" w:eastAsia="方正仿宋_GBK" w:cs="方正仿宋_GBK"/>
          <w:sz w:val="32"/>
          <w:szCs w:val="32"/>
        </w:rPr>
        <w:t>鉴证服务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并出具</w:t>
      </w:r>
    </w:p>
    <w:p>
      <w:pPr>
        <w:keepNext w:val="0"/>
        <w:keepLines w:val="0"/>
        <w:pageBreakBefore w:val="0"/>
        <w:numPr>
          <w:ilvl w:val="0"/>
          <w:numId w:val="0"/>
        </w:numPr>
        <w:tabs>
          <w:tab w:val="left" w:pos="851"/>
        </w:tabs>
        <w:kinsoku/>
        <w:wordWrap/>
        <w:overflowPunct/>
        <w:topLinePunct w:val="0"/>
        <w:autoSpaceDE/>
        <w:autoSpaceDN/>
        <w:bidi w:val="0"/>
        <w:adjustRightInd/>
        <w:spacing w:line="594" w:lineRule="exact"/>
        <w:ind w:right="0" w:rightChars="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lang w:val="en-US" w:eastAsia="zh-CN"/>
        </w:rPr>
        <w:t>报告</w:t>
      </w:r>
      <w:r>
        <w:rPr>
          <w:rFonts w:hint="eastAsia" w:ascii="方正仿宋_GBK" w:hAnsi="方正仿宋_GBK" w:eastAsia="方正仿宋_GBK" w:cs="方正仿宋_GBK"/>
          <w:sz w:val="32"/>
          <w:szCs w:val="32"/>
          <w:lang w:eastAsia="zh-CN"/>
        </w:rPr>
        <w:t>。</w:t>
      </w:r>
    </w:p>
    <w:p>
      <w:pPr>
        <w:keepNext w:val="0"/>
        <w:keepLines w:val="0"/>
        <w:pageBreakBefore w:val="0"/>
        <w:widowControl/>
        <w:tabs>
          <w:tab w:val="left" w:pos="360"/>
        </w:tabs>
        <w:kinsoku/>
        <w:wordWrap/>
        <w:overflowPunct/>
        <w:topLinePunct w:val="0"/>
        <w:autoSpaceDE/>
        <w:autoSpaceDN/>
        <w:bidi w:val="0"/>
        <w:adjustRightInd/>
        <w:snapToGrid w:val="0"/>
        <w:spacing w:before="312" w:beforeLines="100" w:after="312" w:afterLines="100" w:line="594" w:lineRule="exact"/>
        <w:ind w:right="0" w:rightChars="0" w:firstLine="565" w:firstLineChars="176"/>
        <w:jc w:val="left"/>
        <w:textAlignment w:val="auto"/>
        <w:outlineLvl w:val="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lang w:val="en-US" w:eastAsia="zh-CN"/>
        </w:rPr>
        <w:t xml:space="preserve"> </w:t>
      </w:r>
      <w:r>
        <w:rPr>
          <w:rFonts w:hint="eastAsia" w:ascii="方正仿宋_GBK" w:hAnsi="方正仿宋_GBK" w:eastAsia="方正仿宋_GBK" w:cs="方正仿宋_GBK"/>
          <w:b/>
          <w:kern w:val="0"/>
          <w:sz w:val="32"/>
          <w:szCs w:val="32"/>
        </w:rPr>
        <w:t>二、甲方责任与义务</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（一）根据国家现行会计、税收等法律法规的有关规定，甲方有责任保证向乙方提供所需会计资料及纳税资料的真实性、合法性和完整性，并承担因资料不真实、不合法、不完整而造成不良后果的相应责任。</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（二）甲方不得授意乙方人员实施违反国家法律、法规的行为。确保乙方不受限制的接触与本次工作有关的记录、文件和所需的其他信息。</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（三）为本协议顺利履行，甲方应对乙方工作给予充分理解和配合。为乙方委派人员的工作提供必要的工作场所和办公条件。</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（四）根据甲方需求，乙方为甲方提供的咨询意见等，除本约定书约定的情形外，未经乙方许可，甲方不得提供第三方。由于使用不当所造成的后果，与乙方无关。</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w:t>
      </w:r>
      <w:r>
        <w:rPr>
          <w:rFonts w:hint="eastAsia" w:ascii="方正仿宋_GBK" w:hAnsi="方正仿宋_GBK" w:eastAsia="方正仿宋_GBK" w:cs="方正仿宋_GBK"/>
          <w:color w:val="000000"/>
          <w:sz w:val="32"/>
          <w:szCs w:val="32"/>
        </w:rPr>
        <w:t>按本约定书的约定及时支付委托业务费用以及其他相关费用。</w:t>
      </w:r>
    </w:p>
    <w:p>
      <w:pPr>
        <w:keepNext w:val="0"/>
        <w:keepLines w:val="0"/>
        <w:pageBreakBefore w:val="0"/>
        <w:widowControl/>
        <w:tabs>
          <w:tab w:val="left" w:pos="360"/>
        </w:tabs>
        <w:kinsoku/>
        <w:wordWrap/>
        <w:overflowPunct/>
        <w:topLinePunct w:val="0"/>
        <w:autoSpaceDE/>
        <w:autoSpaceDN/>
        <w:bidi w:val="0"/>
        <w:adjustRightInd/>
        <w:snapToGrid w:val="0"/>
        <w:spacing w:before="312" w:beforeLines="100" w:after="312" w:afterLines="100" w:line="594" w:lineRule="exact"/>
        <w:ind w:right="0" w:rightChars="0" w:firstLine="565" w:firstLineChars="176"/>
        <w:jc w:val="left"/>
        <w:textAlignment w:val="auto"/>
        <w:outlineLvl w:val="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lang w:val="en-US" w:eastAsia="zh-CN"/>
        </w:rPr>
        <w:t xml:space="preserve"> </w:t>
      </w:r>
      <w:r>
        <w:rPr>
          <w:rFonts w:hint="eastAsia" w:ascii="方正仿宋_GBK" w:hAnsi="方正仿宋_GBK" w:eastAsia="方正仿宋_GBK" w:cs="方正仿宋_GBK"/>
          <w:b/>
          <w:kern w:val="0"/>
          <w:sz w:val="32"/>
          <w:szCs w:val="32"/>
        </w:rPr>
        <w:t>三、乙方的责任和义务</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（一）乙方根据服务方案及时委派具有相应专业胜任能力和资质的注册税务师和其他专业人员为甲方提供约定服务。</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（二）乙方应严格按照现行税收相关法律、法规和政策规定，及注册税务师执业准则有关规定履行服务程序，并保持服务意见的客观性、准确性和完整性。</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（三）对甲方提出的有关税务咨询事项，由乙方指派的税务顾问按照国家税收法规、会计制度提供税务问题解答，并为甲方落地实施提供必要的专业建议。</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（四）乙方有责任就服务的主要内容和服务成果向甲方解释，并在业务报告中说明。</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（五）履行保密义务</w:t>
      </w:r>
      <w:r>
        <w:commentReference w:id="1"/>
      </w:r>
      <w:r>
        <w:rPr>
          <w:rFonts w:hint="eastAsia" w:ascii="方正仿宋_GBK" w:hAnsi="方正仿宋_GBK" w:eastAsia="方正仿宋_GBK" w:cs="方正仿宋_GBK"/>
          <w:kern w:val="0"/>
          <w:sz w:val="32"/>
          <w:szCs w:val="32"/>
        </w:rPr>
        <w:t>，除下列情况情形之外，乙方应当对执行业务过程中知悉的甲方信息予以保密：（1）取得甲方的授权；（2）根据法律法规的规定，为法律诉讼准备文件或提供证据，以及向监管机构报告的违法违规行为；（3）接受行业协会和监督机构依法进行的质量检查；（4）监管机构对乙方进行行政处罚（包括监管机构处罚前的调查、取证）以及乙方对此提起的行政复议。</w:t>
      </w:r>
    </w:p>
    <w:p>
      <w:pPr>
        <w:keepNext w:val="0"/>
        <w:keepLines w:val="0"/>
        <w:pageBreakBefore w:val="0"/>
        <w:widowControl/>
        <w:tabs>
          <w:tab w:val="left" w:pos="360"/>
        </w:tabs>
        <w:kinsoku/>
        <w:wordWrap/>
        <w:overflowPunct/>
        <w:topLinePunct w:val="0"/>
        <w:autoSpaceDE/>
        <w:autoSpaceDN/>
        <w:bidi w:val="0"/>
        <w:adjustRightInd/>
        <w:snapToGrid w:val="0"/>
        <w:spacing w:before="312" w:beforeLines="100" w:after="312" w:afterLines="100" w:line="594" w:lineRule="exact"/>
        <w:ind w:right="0" w:rightChars="0" w:firstLine="565" w:firstLineChars="176"/>
        <w:jc w:val="left"/>
        <w:textAlignment w:val="auto"/>
        <w:outlineLvl w:val="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四、法律责任及违约责任</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甲乙双方按照《中华人民共和国民法典》的规定承担违约责任。</w:t>
      </w:r>
      <w:r>
        <w:rPr>
          <w:rFonts w:hint="eastAsia" w:ascii="方正仿宋_GBK" w:hAnsi="方正仿宋_GBK" w:eastAsia="方正仿宋_GBK" w:cs="方正仿宋_GBK"/>
          <w:kern w:val="0"/>
          <w:sz w:val="32"/>
          <w:szCs w:val="32"/>
          <w:lang w:val="en-US" w:eastAsia="zh-CN"/>
        </w:rPr>
        <w:t>双方承担</w:t>
      </w:r>
      <w:r>
        <w:rPr>
          <w:rFonts w:hint="eastAsia" w:ascii="方正仿宋_GBK" w:hAnsi="方正仿宋_GBK" w:eastAsia="方正仿宋_GBK" w:cs="方正仿宋_GBK"/>
          <w:kern w:val="0"/>
          <w:sz w:val="32"/>
          <w:szCs w:val="32"/>
        </w:rPr>
        <w:t>各项损失、赔偿、费用或支出的赔偿责任</w:t>
      </w:r>
      <w:r>
        <w:rPr>
          <w:rFonts w:hint="eastAsia" w:ascii="方正仿宋_GBK" w:hAnsi="方正仿宋_GBK" w:eastAsia="方正仿宋_GBK" w:cs="方正仿宋_GBK"/>
          <w:kern w:val="0"/>
          <w:sz w:val="32"/>
          <w:szCs w:val="32"/>
          <w:lang w:val="en-US" w:eastAsia="zh-CN"/>
        </w:rPr>
        <w:t>以本合同金额为限。</w:t>
      </w:r>
    </w:p>
    <w:p>
      <w:pPr>
        <w:keepNext w:val="0"/>
        <w:keepLines w:val="0"/>
        <w:pageBreakBefore w:val="0"/>
        <w:widowControl/>
        <w:numPr>
          <w:ilvl w:val="0"/>
          <w:numId w:val="1"/>
        </w:numPr>
        <w:tabs>
          <w:tab w:val="left" w:pos="360"/>
        </w:tabs>
        <w:kinsoku/>
        <w:wordWrap/>
        <w:overflowPunct/>
        <w:topLinePunct w:val="0"/>
        <w:autoSpaceDE/>
        <w:autoSpaceDN/>
        <w:bidi w:val="0"/>
        <w:adjustRightInd/>
        <w:snapToGrid w:val="0"/>
        <w:spacing w:before="312" w:beforeLines="100" w:after="312" w:afterLines="100" w:line="594" w:lineRule="exact"/>
        <w:ind w:left="0" w:leftChars="0" w:right="0" w:rightChars="0" w:firstLine="565" w:firstLineChars="176"/>
        <w:jc w:val="left"/>
        <w:textAlignment w:val="auto"/>
        <w:outlineLvl w:val="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免责事由</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val="0"/>
        <w:spacing w:before="312" w:beforeLines="100" w:after="312" w:afterLines="100" w:line="594" w:lineRule="exact"/>
        <w:ind w:left="0" w:leftChars="0" w:right="0" w:rightChars="0"/>
        <w:jc w:val="left"/>
        <w:textAlignment w:val="auto"/>
        <w:outlineLvl w:val="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如本约定书任何一方因受不可抗力事件影响而未能履行其在本约定书项下的全部或部分义务，该义务的履行在不可抗力事件妨碍其履行期间根据程度应予中止或终止。</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由不可抗力不能履行约定书或造成他人损害的，部分或全部免除民事责任。</w:t>
      </w:r>
    </w:p>
    <w:p>
      <w:pPr>
        <w:keepNext w:val="0"/>
        <w:keepLines w:val="0"/>
        <w:pageBreakBefore w:val="0"/>
        <w:widowControl/>
        <w:tabs>
          <w:tab w:val="left" w:pos="360"/>
        </w:tabs>
        <w:kinsoku/>
        <w:wordWrap/>
        <w:overflowPunct/>
        <w:topLinePunct w:val="0"/>
        <w:autoSpaceDE/>
        <w:autoSpaceDN/>
        <w:bidi w:val="0"/>
        <w:adjustRightInd/>
        <w:snapToGrid w:val="0"/>
        <w:spacing w:before="312" w:beforeLines="100" w:after="312" w:afterLines="100" w:line="594" w:lineRule="exact"/>
        <w:ind w:right="0" w:rightChars="0" w:firstLine="565" w:firstLineChars="176"/>
        <w:jc w:val="left"/>
        <w:textAlignment w:val="auto"/>
        <w:outlineLvl w:val="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六、违约责任兑现方式</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本约定书任何一方违反约定事项造成对方实际损失的，应在双方确认事项后5日内由违约方向守约方支付已造成的实际损失并按照合同约定比例向守约方支付违约金。</w:t>
      </w:r>
    </w:p>
    <w:p>
      <w:pPr>
        <w:keepNext w:val="0"/>
        <w:keepLines w:val="0"/>
        <w:pageBreakBefore w:val="0"/>
        <w:widowControl/>
        <w:tabs>
          <w:tab w:val="left" w:pos="360"/>
        </w:tabs>
        <w:kinsoku/>
        <w:wordWrap/>
        <w:overflowPunct/>
        <w:topLinePunct w:val="0"/>
        <w:autoSpaceDE/>
        <w:autoSpaceDN/>
        <w:bidi w:val="0"/>
        <w:adjustRightInd/>
        <w:snapToGrid w:val="0"/>
        <w:spacing w:before="312" w:beforeLines="100" w:after="312" w:afterLines="100" w:line="594" w:lineRule="exact"/>
        <w:ind w:right="0" w:rightChars="0" w:firstLine="565" w:firstLineChars="176"/>
        <w:jc w:val="left"/>
        <w:textAlignment w:val="auto"/>
        <w:outlineLvl w:val="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七、费用及支付</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（一）按照注册税务师行业收费的有关规定，以乙方各级别工作人员在本次工作中所耗用的时间为基础计算的。乙方完成本次委托业务费用含税金额</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rPr>
        <w:t>元(大写人民币</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，其中不含税金额</w:t>
      </w:r>
      <w:r>
        <w:rPr>
          <w:rFonts w:hint="eastAsia" w:ascii="方正仿宋_GBK" w:hAnsi="方正仿宋_GBK" w:eastAsia="方正仿宋_GBK" w:cs="方正仿宋_GBK"/>
          <w:color w:val="auto"/>
          <w:kern w:val="0"/>
          <w:sz w:val="32"/>
          <w:szCs w:val="32"/>
          <w:lang w:val="en-US" w:eastAsia="zh-CN"/>
        </w:rPr>
        <w:t xml:space="preserve">    </w:t>
      </w:r>
      <w:r>
        <w:rPr>
          <w:rFonts w:hint="eastAsia" w:ascii="方正仿宋_GBK" w:hAnsi="方正仿宋_GBK" w:eastAsia="方正仿宋_GBK" w:cs="方正仿宋_GBK"/>
          <w:color w:val="auto"/>
          <w:kern w:val="0"/>
          <w:sz w:val="32"/>
          <w:szCs w:val="32"/>
        </w:rPr>
        <w:t>元(大写人民币</w:t>
      </w:r>
      <w:r>
        <w:rPr>
          <w:rFonts w:hint="eastAsia" w:ascii="方正仿宋_GBK" w:hAnsi="方正仿宋_GBK" w:eastAsia="方正仿宋_GBK" w:cs="方正仿宋_GBK"/>
          <w:color w:val="auto"/>
          <w:kern w:val="0"/>
          <w:sz w:val="32"/>
          <w:szCs w:val="32"/>
          <w:lang w:val="en-US" w:eastAsia="zh-CN"/>
        </w:rPr>
        <w:t xml:space="preserve">   </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，增值税</w:t>
      </w:r>
      <w:r>
        <w:rPr>
          <w:rFonts w:hint="eastAsia" w:ascii="方正仿宋_GBK" w:hAnsi="方正仿宋_GBK" w:eastAsia="方正仿宋_GBK" w:cs="方正仿宋_GBK"/>
          <w:color w:val="auto"/>
          <w:kern w:val="0"/>
          <w:sz w:val="32"/>
          <w:szCs w:val="32"/>
          <w:lang w:val="en-US" w:eastAsia="zh-CN"/>
        </w:rPr>
        <w:t xml:space="preserve">   </w:t>
      </w:r>
      <w:r>
        <w:rPr>
          <w:rFonts w:hint="eastAsia" w:ascii="方正仿宋_GBK" w:hAnsi="方正仿宋_GBK" w:eastAsia="方正仿宋_GBK" w:cs="方正仿宋_GBK"/>
          <w:color w:val="auto"/>
          <w:kern w:val="0"/>
          <w:sz w:val="32"/>
          <w:szCs w:val="32"/>
        </w:rPr>
        <w:t>元(大写人民币</w:t>
      </w:r>
      <w:r>
        <w:rPr>
          <w:rFonts w:hint="eastAsia" w:ascii="方正仿宋_GBK" w:hAnsi="方正仿宋_GBK" w:eastAsia="方正仿宋_GBK" w:cs="方正仿宋_GBK"/>
          <w:color w:val="auto"/>
          <w:kern w:val="0"/>
          <w:sz w:val="32"/>
          <w:szCs w:val="32"/>
          <w:lang w:val="en-US" w:eastAsia="zh-CN"/>
        </w:rPr>
        <w:t xml:space="preserve">   </w:t>
      </w:r>
      <w:r>
        <w:rPr>
          <w:rFonts w:hint="eastAsia" w:ascii="方正仿宋_GBK" w:hAnsi="方正仿宋_GBK" w:eastAsia="方正仿宋_GBK" w:cs="方正仿宋_GBK"/>
          <w:color w:val="auto"/>
          <w:kern w:val="0"/>
          <w:sz w:val="32"/>
          <w:szCs w:val="32"/>
        </w:rPr>
        <w:t>)。</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u w:val="none"/>
          <w:lang w:eastAsia="zh-CN"/>
        </w:rPr>
      </w:pPr>
      <w:r>
        <w:rPr>
          <w:rFonts w:hint="eastAsia" w:ascii="方正仿宋_GBK" w:hAnsi="方正仿宋_GBK" w:eastAsia="方正仿宋_GBK" w:cs="方正仿宋_GBK"/>
          <w:color w:val="000000"/>
          <w:kern w:val="0"/>
          <w:sz w:val="32"/>
          <w:szCs w:val="32"/>
        </w:rPr>
        <w:t>（二）</w:t>
      </w:r>
      <w:r>
        <w:rPr>
          <w:rFonts w:hint="eastAsia" w:ascii="方正仿宋_GBK" w:hAnsi="方正仿宋_GBK" w:eastAsia="方正仿宋_GBK" w:cs="方正仿宋_GBK"/>
          <w:color w:val="000000"/>
          <w:kern w:val="0"/>
          <w:sz w:val="32"/>
          <w:szCs w:val="32"/>
          <w:lang w:val="en-US" w:eastAsia="zh-CN"/>
        </w:rPr>
        <w:t>上述费用</w:t>
      </w:r>
      <w:r>
        <w:rPr>
          <w:rFonts w:hint="eastAsia" w:ascii="方正仿宋_GBK" w:hAnsi="方正仿宋_GBK" w:eastAsia="方正仿宋_GBK" w:cs="方正仿宋_GBK"/>
          <w:kern w:val="0"/>
          <w:sz w:val="32"/>
          <w:szCs w:val="32"/>
          <w:u w:val="none"/>
        </w:rPr>
        <w:t>分两次支付</w:t>
      </w:r>
      <w:r>
        <w:rPr>
          <w:rFonts w:hint="eastAsia" w:ascii="方正仿宋_GBK" w:hAnsi="方正仿宋_GBK" w:eastAsia="方正仿宋_GBK" w:cs="方正仿宋_GBK"/>
          <w:kern w:val="0"/>
          <w:sz w:val="32"/>
          <w:szCs w:val="32"/>
          <w:u w:val="none"/>
          <w:lang w:eastAsia="zh-CN"/>
        </w:rPr>
        <w:t>：</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合同签订后10个工作日之内，支付合同金额的50%</w:t>
      </w:r>
      <w:r>
        <w:rPr>
          <w:rFonts w:hint="eastAsia" w:ascii="方正仿宋_GBK" w:hAnsi="方正仿宋_GBK" w:eastAsia="方正仿宋_GBK" w:cs="方正仿宋_GBK"/>
          <w:kern w:val="0"/>
          <w:sz w:val="32"/>
          <w:szCs w:val="32"/>
          <w:lang w:eastAsia="zh-CN"/>
        </w:rPr>
        <w:t>；</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2、合同服务到期当月</w:t>
      </w:r>
      <w:r>
        <w:rPr>
          <w:rFonts w:hint="eastAsia" w:ascii="方正仿宋_GBK" w:hAnsi="方正仿宋_GBK" w:eastAsia="方正仿宋_GBK" w:cs="方正仿宋_GBK"/>
          <w:kern w:val="0"/>
          <w:sz w:val="32"/>
          <w:szCs w:val="32"/>
        </w:rPr>
        <w:t>支付剩余款项。</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乙方应在</w:t>
      </w:r>
      <w:r>
        <w:rPr>
          <w:rFonts w:hint="eastAsia" w:ascii="方正仿宋_GBK" w:hAnsi="方正仿宋_GBK" w:eastAsia="方正仿宋_GBK" w:cs="方正仿宋_GBK"/>
          <w:kern w:val="0"/>
          <w:sz w:val="32"/>
          <w:szCs w:val="32"/>
          <w:lang w:val="en-US" w:eastAsia="zh-CN"/>
        </w:rPr>
        <w:t>每次</w:t>
      </w:r>
      <w:r>
        <w:rPr>
          <w:rFonts w:hint="eastAsia" w:ascii="方正仿宋_GBK" w:hAnsi="方正仿宋_GBK" w:eastAsia="方正仿宋_GBK" w:cs="方正仿宋_GBK"/>
          <w:color w:val="000000"/>
          <w:kern w:val="0"/>
          <w:sz w:val="32"/>
          <w:szCs w:val="32"/>
        </w:rPr>
        <w:t>付款前向甲方足额开具发票。</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（三）由于无法预见的原因，导致乙方从事本委托事项完成的实际时间较本约定书签订时预计的时间有明显的增加或减少时，甲乙双方应通过协商，相应调整本约定书第七款第1项所述业务费用总额。</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（四）发生的与本次委托事项有关的其他费用（包括交通、食宿费等），由乙方负担。</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（五）本次</w:t>
      </w:r>
      <w:r>
        <w:rPr>
          <w:rFonts w:hint="eastAsia" w:ascii="方正仿宋_GBK" w:hAnsi="方正仿宋_GBK" w:eastAsia="方正仿宋_GBK" w:cs="方正仿宋_GBK"/>
          <w:kern w:val="0"/>
          <w:sz w:val="32"/>
          <w:szCs w:val="32"/>
        </w:rPr>
        <w:t>服务</w:t>
      </w:r>
      <w:r>
        <w:rPr>
          <w:rFonts w:hint="eastAsia" w:ascii="方正仿宋_GBK" w:hAnsi="方正仿宋_GBK" w:eastAsia="方正仿宋_GBK" w:cs="方正仿宋_GBK"/>
          <w:color w:val="000000"/>
          <w:sz w:val="32"/>
          <w:szCs w:val="32"/>
        </w:rPr>
        <w:t>费用请汇入以下账户：</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收款单位：</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开户银行：</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银行账号：</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（六）上述（五）信息发生变更，乙方需在甲方付款前拾（10）日书面通知甲方。任何一方因以上信息变更未按本约定书通知或确认信息而使甲乙双方遭受的损失，由违约方向守约方承担损失责任。</w:t>
      </w:r>
    </w:p>
    <w:p>
      <w:pPr>
        <w:keepNext w:val="0"/>
        <w:keepLines w:val="0"/>
        <w:pageBreakBefore w:val="0"/>
        <w:widowControl/>
        <w:tabs>
          <w:tab w:val="left" w:pos="360"/>
        </w:tabs>
        <w:kinsoku/>
        <w:wordWrap/>
        <w:overflowPunct/>
        <w:topLinePunct w:val="0"/>
        <w:autoSpaceDE/>
        <w:autoSpaceDN/>
        <w:bidi w:val="0"/>
        <w:adjustRightInd/>
        <w:snapToGrid w:val="0"/>
        <w:spacing w:before="312" w:beforeLines="100" w:after="312" w:afterLines="100" w:line="594" w:lineRule="exact"/>
        <w:ind w:right="0" w:rightChars="0" w:firstLine="565" w:firstLineChars="176"/>
        <w:jc w:val="left"/>
        <w:textAlignment w:val="auto"/>
        <w:outlineLvl w:val="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八、约定事项的变更、终止</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如果出现不可预见的情形，影响涉税服务工作如期完成，或者需要提前出具业务报告时，甲乙双方均可要求变更约定事项，但应提前通知对方，并由双方协商解决。</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（一）本约定书签订后，双方应当按约履行，不得无故终止。如遇法定情形或特殊原因确需终止的,提出终止的一方应提前通知另一方。</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（二）在终止业务约定的情况下，乙方有权就本约定书终止之日前对约定事项所做的工作收取合理的费用。</w:t>
      </w:r>
    </w:p>
    <w:p>
      <w:pPr>
        <w:keepNext w:val="0"/>
        <w:keepLines w:val="0"/>
        <w:pageBreakBefore w:val="0"/>
        <w:widowControl/>
        <w:tabs>
          <w:tab w:val="left" w:pos="360"/>
        </w:tabs>
        <w:kinsoku/>
        <w:wordWrap/>
        <w:overflowPunct/>
        <w:topLinePunct w:val="0"/>
        <w:autoSpaceDE/>
        <w:autoSpaceDN/>
        <w:bidi w:val="0"/>
        <w:adjustRightInd/>
        <w:snapToGrid w:val="0"/>
        <w:spacing w:before="312" w:beforeLines="100" w:after="312" w:afterLines="100" w:line="594" w:lineRule="exact"/>
        <w:ind w:right="0" w:rightChars="0" w:firstLine="565" w:firstLineChars="176"/>
        <w:jc w:val="left"/>
        <w:textAlignment w:val="auto"/>
        <w:outlineLvl w:val="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九、资料保留及所有权</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sz w:val="32"/>
          <w:szCs w:val="32"/>
        </w:rPr>
        <w:t>乙方对执行业务</w:t>
      </w:r>
      <w:r>
        <w:rPr>
          <w:rFonts w:hint="eastAsia" w:ascii="方正仿宋_GBK" w:hAnsi="方正仿宋_GBK" w:eastAsia="方正仿宋_GBK" w:cs="方正仿宋_GBK"/>
          <w:kern w:val="0"/>
          <w:sz w:val="32"/>
          <w:szCs w:val="32"/>
        </w:rPr>
        <w:t>过程</w:t>
      </w:r>
      <w:r>
        <w:rPr>
          <w:rFonts w:hint="eastAsia" w:ascii="方正仿宋_GBK" w:hAnsi="方正仿宋_GBK" w:eastAsia="方正仿宋_GBK" w:cs="方正仿宋_GBK"/>
          <w:color w:val="000000"/>
          <w:sz w:val="32"/>
          <w:szCs w:val="32"/>
        </w:rPr>
        <w:t>中形成的工作底稿拥有所有权，乙方可自主决定允许甲方获取业务工作底稿部分内容，或摘录部分工作底稿。但披露这些信息不得损害乙方执行业务的有效性和独立性。</w:t>
      </w:r>
    </w:p>
    <w:p>
      <w:pPr>
        <w:keepNext w:val="0"/>
        <w:keepLines w:val="0"/>
        <w:pageBreakBefore w:val="0"/>
        <w:widowControl/>
        <w:tabs>
          <w:tab w:val="left" w:pos="360"/>
        </w:tabs>
        <w:kinsoku/>
        <w:wordWrap/>
        <w:overflowPunct/>
        <w:topLinePunct w:val="0"/>
        <w:autoSpaceDE/>
        <w:autoSpaceDN/>
        <w:bidi w:val="0"/>
        <w:adjustRightInd/>
        <w:snapToGrid w:val="0"/>
        <w:spacing w:before="312" w:beforeLines="100" w:after="312" w:afterLines="100" w:line="594" w:lineRule="exact"/>
        <w:ind w:right="0" w:rightChars="0" w:firstLine="565" w:firstLineChars="176"/>
        <w:jc w:val="left"/>
        <w:textAlignment w:val="auto"/>
        <w:outlineLvl w:val="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十、适用法律和争议解决</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本约定书的所有方面均应适用中华人民共和国的法律进行解释并受其约束。与本约定书有关的任何纠纷或争议，双方选择按以下第（</w:t>
      </w:r>
      <w:r>
        <w:rPr>
          <w:rFonts w:hint="eastAsia" w:ascii="方正仿宋_GBK" w:hAnsi="方正仿宋_GBK" w:eastAsia="方正仿宋_GBK" w:cs="方正仿宋_GBK"/>
          <w:kern w:val="0"/>
          <w:sz w:val="32"/>
          <w:szCs w:val="32"/>
          <w:lang w:val="en-US" w:eastAsia="zh-CN"/>
        </w:rPr>
        <w:t>一</w:t>
      </w:r>
      <w:r>
        <w:rPr>
          <w:rFonts w:hint="eastAsia" w:ascii="方正仿宋_GBK" w:hAnsi="方正仿宋_GBK" w:eastAsia="方正仿宋_GBK" w:cs="方正仿宋_GBK"/>
          <w:kern w:val="0"/>
          <w:sz w:val="32"/>
          <w:szCs w:val="32"/>
        </w:rPr>
        <w:t>）种解决方式：</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（一）提交重庆仲裁委员会进行仲裁；</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w:t>
      </w:r>
      <w:r>
        <w:rPr>
          <w:rFonts w:hint="eastAsia" w:ascii="方正仿宋_GBK" w:hAnsi="方正仿宋_GBK" w:eastAsia="方正仿宋_GBK" w:cs="方正仿宋_GBK"/>
          <w:color w:val="000000"/>
          <w:sz w:val="32"/>
          <w:szCs w:val="32"/>
        </w:rPr>
        <w:t>向有</w:t>
      </w:r>
      <w:r>
        <w:rPr>
          <w:rFonts w:hint="eastAsia" w:ascii="方正仿宋_GBK" w:hAnsi="方正仿宋_GBK" w:eastAsia="方正仿宋_GBK" w:cs="方正仿宋_GBK"/>
          <w:kern w:val="0"/>
          <w:sz w:val="32"/>
          <w:szCs w:val="32"/>
        </w:rPr>
        <w:t>管辖权</w:t>
      </w:r>
      <w:r>
        <w:rPr>
          <w:rFonts w:hint="eastAsia" w:ascii="方正仿宋_GBK" w:hAnsi="方正仿宋_GBK" w:eastAsia="方正仿宋_GBK" w:cs="方正仿宋_GBK"/>
          <w:color w:val="000000"/>
          <w:sz w:val="32"/>
          <w:szCs w:val="32"/>
        </w:rPr>
        <w:t>的人民法院提起诉讼。</w:t>
      </w:r>
    </w:p>
    <w:p>
      <w:pPr>
        <w:keepNext w:val="0"/>
        <w:keepLines w:val="0"/>
        <w:pageBreakBefore w:val="0"/>
        <w:widowControl/>
        <w:tabs>
          <w:tab w:val="left" w:pos="360"/>
        </w:tabs>
        <w:kinsoku/>
        <w:wordWrap/>
        <w:overflowPunct/>
        <w:topLinePunct w:val="0"/>
        <w:autoSpaceDE/>
        <w:autoSpaceDN/>
        <w:bidi w:val="0"/>
        <w:adjustRightInd/>
        <w:snapToGrid w:val="0"/>
        <w:spacing w:before="312" w:beforeLines="100" w:after="312" w:afterLines="100" w:line="594" w:lineRule="exact"/>
        <w:ind w:left="0" w:leftChars="0" w:right="0" w:rightChars="0" w:firstLine="565" w:firstLineChars="176"/>
        <w:jc w:val="left"/>
        <w:textAlignment w:val="auto"/>
        <w:outlineLvl w:val="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十一、本约定书的法律效力</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（一）本约定书经双方代表人签字或盖章并加盖单位公章之日起生效，并在双方履行完成约定事项后终止。</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（二）本约定书一式四份，甲乙方各执两份，具有同等法律效力。</w:t>
      </w:r>
    </w:p>
    <w:p>
      <w:pPr>
        <w:keepNext w:val="0"/>
        <w:keepLines w:val="0"/>
        <w:pageBreakBefore w:val="0"/>
        <w:widowControl/>
        <w:tabs>
          <w:tab w:val="left" w:pos="360"/>
        </w:tabs>
        <w:kinsoku/>
        <w:wordWrap/>
        <w:overflowPunct/>
        <w:topLinePunct w:val="0"/>
        <w:autoSpaceDE/>
        <w:autoSpaceDN/>
        <w:bidi w:val="0"/>
        <w:adjustRightInd/>
        <w:snapToGrid w:val="0"/>
        <w:spacing w:before="312" w:beforeLines="100" w:after="312" w:afterLines="100" w:line="594" w:lineRule="exact"/>
        <w:ind w:left="0" w:leftChars="0" w:right="0" w:rightChars="0" w:firstLine="565" w:firstLineChars="176"/>
        <w:jc w:val="left"/>
        <w:textAlignment w:val="auto"/>
        <w:outlineLvl w:val="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十二、其他事项的约定</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（一）本约定书未尽事宜，经双方协商另行签订补充协议，本约定书的附件及任何补充协议与本约定书具有同等法律效力。</w:t>
      </w:r>
    </w:p>
    <w:p>
      <w:pPr>
        <w:keepNext w:val="0"/>
        <w:keepLines w:val="0"/>
        <w:pageBreakBefore w:val="0"/>
        <w:widowControl/>
        <w:tabs>
          <w:tab w:val="left" w:pos="360"/>
        </w:tabs>
        <w:kinsoku/>
        <w:wordWrap/>
        <w:overflowPunct/>
        <w:topLinePunct w:val="0"/>
        <w:autoSpaceDE/>
        <w:autoSpaceDN/>
        <w:bidi w:val="0"/>
        <w:adjustRightInd/>
        <w:snapToGrid w:val="0"/>
        <w:spacing w:after="63" w:afterLines="20" w:line="594" w:lineRule="exact"/>
        <w:ind w:right="0" w:righ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(以下无正文)</w:t>
      </w:r>
    </w:p>
    <w:tbl>
      <w:tblPr>
        <w:tblStyle w:val="12"/>
        <w:tblW w:w="8520" w:type="dxa"/>
        <w:jc w:val="center"/>
        <w:tblLayout w:type="fixed"/>
        <w:tblCellMar>
          <w:top w:w="0" w:type="dxa"/>
          <w:left w:w="108" w:type="dxa"/>
          <w:bottom w:w="0" w:type="dxa"/>
          <w:right w:w="108" w:type="dxa"/>
        </w:tblCellMar>
      </w:tblPr>
      <w:tblGrid>
        <w:gridCol w:w="4145"/>
        <w:gridCol w:w="4375"/>
      </w:tblGrid>
      <w:tr>
        <w:tblPrEx>
          <w:tblCellMar>
            <w:top w:w="0" w:type="dxa"/>
            <w:left w:w="108" w:type="dxa"/>
            <w:bottom w:w="0" w:type="dxa"/>
            <w:right w:w="108" w:type="dxa"/>
          </w:tblCellMar>
        </w:tblPrEx>
        <w:trPr>
          <w:cantSplit/>
          <w:trHeight w:val="1270" w:hRule="atLeast"/>
          <w:jc w:val="center"/>
        </w:trPr>
        <w:tc>
          <w:tcPr>
            <w:tcW w:w="4145" w:type="dxa"/>
            <w:tcBorders>
              <w:bottom w:val="nil"/>
            </w:tcBorders>
            <w:vAlign w:val="top"/>
          </w:tcPr>
          <w:p>
            <w:pPr>
              <w:keepNext w:val="0"/>
              <w:keepLines w:val="0"/>
              <w:pageBreakBefore w:val="0"/>
              <w:kinsoku/>
              <w:wordWrap/>
              <w:overflowPunct/>
              <w:topLinePunct w:val="0"/>
              <w:autoSpaceDE/>
              <w:autoSpaceDN/>
              <w:bidi w:val="0"/>
              <w:adjustRightInd/>
              <w:spacing w:after="156" w:afterLines="50" w:line="594" w:lineRule="exact"/>
              <w:ind w:right="0" w:rightChars="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甲方：</w:t>
            </w:r>
          </w:p>
          <w:p>
            <w:pPr>
              <w:keepNext w:val="0"/>
              <w:keepLines w:val="0"/>
              <w:pageBreakBefore w:val="0"/>
              <w:kinsoku/>
              <w:wordWrap/>
              <w:overflowPunct/>
              <w:topLinePunct w:val="0"/>
              <w:autoSpaceDE/>
              <w:autoSpaceDN/>
              <w:bidi w:val="0"/>
              <w:adjustRightInd/>
              <w:spacing w:after="156" w:afterLines="50" w:line="594" w:lineRule="exact"/>
              <w:ind w:right="0" w:rightChars="0"/>
              <w:textAlignment w:val="auto"/>
              <w:rPr>
                <w:rFonts w:hint="eastAsia" w:ascii="方正仿宋_GBK" w:hAnsi="方正仿宋_GBK" w:eastAsia="方正仿宋_GBK" w:cs="方正仿宋_GBK"/>
                <w:color w:val="000000"/>
                <w:sz w:val="32"/>
                <w:szCs w:val="32"/>
              </w:rPr>
            </w:pPr>
          </w:p>
        </w:tc>
        <w:tc>
          <w:tcPr>
            <w:tcW w:w="4375" w:type="dxa"/>
            <w:vAlign w:val="top"/>
          </w:tcPr>
          <w:p>
            <w:pPr>
              <w:keepNext w:val="0"/>
              <w:keepLines w:val="0"/>
              <w:pageBreakBefore w:val="0"/>
              <w:kinsoku/>
              <w:wordWrap/>
              <w:overflowPunct/>
              <w:topLinePunct w:val="0"/>
              <w:autoSpaceDE/>
              <w:autoSpaceDN/>
              <w:bidi w:val="0"/>
              <w:adjustRightInd/>
              <w:spacing w:after="156" w:afterLines="50" w:line="594" w:lineRule="exact"/>
              <w:ind w:right="0" w:rightChars="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乙方：</w:t>
            </w:r>
          </w:p>
          <w:p>
            <w:pPr>
              <w:keepNext w:val="0"/>
              <w:keepLines w:val="0"/>
              <w:pageBreakBefore w:val="0"/>
              <w:kinsoku/>
              <w:wordWrap/>
              <w:overflowPunct/>
              <w:topLinePunct w:val="0"/>
              <w:autoSpaceDE/>
              <w:autoSpaceDN/>
              <w:bidi w:val="0"/>
              <w:adjustRightInd/>
              <w:spacing w:after="156" w:afterLines="50" w:line="594" w:lineRule="exact"/>
              <w:ind w:right="0" w:rightChars="0"/>
              <w:textAlignment w:val="auto"/>
              <w:rPr>
                <w:rFonts w:hint="eastAsia" w:ascii="方正仿宋_GBK" w:hAnsi="方正仿宋_GBK" w:eastAsia="方正仿宋_GBK" w:cs="方正仿宋_GBK"/>
                <w:color w:val="000000"/>
                <w:sz w:val="32"/>
                <w:szCs w:val="32"/>
              </w:rPr>
            </w:pPr>
          </w:p>
        </w:tc>
      </w:tr>
      <w:tr>
        <w:tblPrEx>
          <w:tblCellMar>
            <w:top w:w="0" w:type="dxa"/>
            <w:left w:w="108" w:type="dxa"/>
            <w:bottom w:w="0" w:type="dxa"/>
            <w:right w:w="108" w:type="dxa"/>
          </w:tblCellMar>
        </w:tblPrEx>
        <w:trPr>
          <w:cantSplit/>
          <w:trHeight w:val="1230" w:hRule="atLeast"/>
          <w:jc w:val="center"/>
        </w:trPr>
        <w:tc>
          <w:tcPr>
            <w:tcW w:w="4145" w:type="dxa"/>
            <w:tcBorders>
              <w:bottom w:val="nil"/>
            </w:tcBorders>
            <w:vAlign w:val="top"/>
          </w:tcPr>
          <w:p>
            <w:pPr>
              <w:keepNext w:val="0"/>
              <w:keepLines w:val="0"/>
              <w:pageBreakBefore w:val="0"/>
              <w:kinsoku/>
              <w:wordWrap/>
              <w:overflowPunct/>
              <w:topLinePunct w:val="0"/>
              <w:autoSpaceDE/>
              <w:autoSpaceDN/>
              <w:bidi w:val="0"/>
              <w:adjustRightInd/>
              <w:spacing w:after="156" w:afterLines="50" w:line="594" w:lineRule="exact"/>
              <w:ind w:right="0" w:rightChars="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法定代表人或授权代表人：</w:t>
            </w:r>
          </w:p>
        </w:tc>
        <w:tc>
          <w:tcPr>
            <w:tcW w:w="4375" w:type="dxa"/>
            <w:vAlign w:val="top"/>
          </w:tcPr>
          <w:p>
            <w:pPr>
              <w:keepNext w:val="0"/>
              <w:keepLines w:val="0"/>
              <w:pageBreakBefore w:val="0"/>
              <w:kinsoku/>
              <w:wordWrap/>
              <w:overflowPunct/>
              <w:topLinePunct w:val="0"/>
              <w:autoSpaceDE/>
              <w:autoSpaceDN/>
              <w:bidi w:val="0"/>
              <w:adjustRightInd/>
              <w:spacing w:after="156" w:afterLines="50" w:line="594" w:lineRule="exact"/>
              <w:ind w:right="0" w:rightChars="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法定代表人或授权代表人：</w:t>
            </w:r>
          </w:p>
        </w:tc>
      </w:tr>
      <w:tr>
        <w:tblPrEx>
          <w:tblCellMar>
            <w:top w:w="0" w:type="dxa"/>
            <w:left w:w="108" w:type="dxa"/>
            <w:bottom w:w="0" w:type="dxa"/>
            <w:right w:w="108" w:type="dxa"/>
          </w:tblCellMar>
        </w:tblPrEx>
        <w:trPr>
          <w:cantSplit/>
          <w:trHeight w:val="796" w:hRule="atLeast"/>
          <w:jc w:val="center"/>
        </w:trPr>
        <w:tc>
          <w:tcPr>
            <w:tcW w:w="4145" w:type="dxa"/>
            <w:tcBorders>
              <w:bottom w:val="nil"/>
            </w:tcBorders>
            <w:vAlign w:val="top"/>
          </w:tcPr>
          <w:p>
            <w:pPr>
              <w:keepNext w:val="0"/>
              <w:keepLines w:val="0"/>
              <w:pageBreakBefore w:val="0"/>
              <w:kinsoku/>
              <w:wordWrap/>
              <w:overflowPunct/>
              <w:topLinePunct w:val="0"/>
              <w:autoSpaceDE/>
              <w:autoSpaceDN/>
              <w:bidi w:val="0"/>
              <w:adjustRightInd/>
              <w:spacing w:after="156" w:afterLines="50" w:line="594" w:lineRule="exact"/>
              <w:ind w:right="0" w:rightChars="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签约日期：</w:t>
            </w:r>
          </w:p>
        </w:tc>
        <w:tc>
          <w:tcPr>
            <w:tcW w:w="4375" w:type="dxa"/>
            <w:vAlign w:val="top"/>
          </w:tcPr>
          <w:p>
            <w:pPr>
              <w:keepNext w:val="0"/>
              <w:keepLines w:val="0"/>
              <w:pageBreakBefore w:val="0"/>
              <w:kinsoku/>
              <w:wordWrap/>
              <w:overflowPunct/>
              <w:topLinePunct w:val="0"/>
              <w:autoSpaceDE/>
              <w:autoSpaceDN/>
              <w:bidi w:val="0"/>
              <w:adjustRightInd/>
              <w:spacing w:after="156" w:afterLines="50" w:line="594" w:lineRule="exact"/>
              <w:ind w:right="0" w:rightChars="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签约日期：</w:t>
            </w:r>
          </w:p>
        </w:tc>
      </w:tr>
    </w:tbl>
    <w:p>
      <w:pPr>
        <w:keepNext w:val="0"/>
        <w:keepLines w:val="0"/>
        <w:pageBreakBefore w:val="0"/>
        <w:widowControl w:val="0"/>
        <w:kinsoku/>
        <w:wordWrap/>
        <w:overflowPunct/>
        <w:topLinePunct w:val="0"/>
        <w:autoSpaceDE/>
        <w:autoSpaceDN/>
        <w:bidi w:val="0"/>
        <w:adjustRightInd/>
        <w:snapToGrid/>
        <w:spacing w:line="594" w:lineRule="exact"/>
        <w:ind w:right="0" w:rightChars="0"/>
        <w:textAlignment w:val="auto"/>
        <w:rPr>
          <w:rFonts w:hint="eastAsia" w:ascii="方正仿宋_GBK" w:hAnsi="方正仿宋_GBK" w:eastAsia="方正仿宋_GBK" w:cs="方正仿宋_GBK"/>
          <w:sz w:val="32"/>
          <w:szCs w:val="32"/>
        </w:rPr>
      </w:pPr>
    </w:p>
    <w:p>
      <w:pPr>
        <w:pStyle w:val="2"/>
        <w:keepNext w:val="0"/>
        <w:keepLines w:val="0"/>
        <w:pageBreakBefore w:val="0"/>
        <w:kinsoku/>
        <w:wordWrap/>
        <w:overflowPunct/>
        <w:topLinePunct w:val="0"/>
        <w:autoSpaceDE/>
        <w:autoSpaceDN/>
        <w:bidi w:val="0"/>
        <w:adjustRightInd/>
        <w:spacing w:line="594" w:lineRule="exact"/>
        <w:ind w:right="0" w:rightChars="0"/>
        <w:textAlignment w:val="auto"/>
        <w:rPr>
          <w:rFonts w:hint="eastAsia" w:ascii="方正仿宋_GBK" w:hAnsi="方正仿宋_GBK" w:eastAsia="方正仿宋_GBK" w:cs="方正仿宋_GBK"/>
          <w:sz w:val="32"/>
          <w:szCs w:val="32"/>
        </w:rPr>
      </w:pPr>
    </w:p>
    <w:p>
      <w:pPr>
        <w:pStyle w:val="2"/>
        <w:keepNext w:val="0"/>
        <w:keepLines w:val="0"/>
        <w:pageBreakBefore w:val="0"/>
        <w:kinsoku/>
        <w:wordWrap/>
        <w:overflowPunct/>
        <w:topLinePunct w:val="0"/>
        <w:autoSpaceDE/>
        <w:autoSpaceDN/>
        <w:bidi w:val="0"/>
        <w:adjustRightInd/>
        <w:spacing w:line="594" w:lineRule="exact"/>
        <w:ind w:right="0" w:rightChars="0"/>
        <w:textAlignment w:val="auto"/>
      </w:pPr>
    </w:p>
    <w:p>
      <w:pPr>
        <w:pStyle w:val="2"/>
        <w:keepNext w:val="0"/>
        <w:keepLines w:val="0"/>
        <w:pageBreakBefore w:val="0"/>
        <w:kinsoku/>
        <w:wordWrap/>
        <w:overflowPunct/>
        <w:topLinePunct w:val="0"/>
        <w:autoSpaceDE/>
        <w:autoSpaceDN/>
        <w:bidi w:val="0"/>
        <w:adjustRightInd/>
        <w:spacing w:line="594" w:lineRule="exact"/>
        <w:ind w:right="0" w:rightChars="0"/>
        <w:textAlignment w:val="auto"/>
      </w:pPr>
    </w:p>
    <w:p>
      <w:pPr>
        <w:pStyle w:val="2"/>
        <w:keepNext w:val="0"/>
        <w:keepLines w:val="0"/>
        <w:pageBreakBefore w:val="0"/>
        <w:kinsoku/>
        <w:wordWrap/>
        <w:overflowPunct/>
        <w:topLinePunct w:val="0"/>
        <w:autoSpaceDE/>
        <w:autoSpaceDN/>
        <w:bidi w:val="0"/>
        <w:adjustRightInd/>
        <w:spacing w:line="594" w:lineRule="exact"/>
        <w:ind w:right="0" w:rightChars="0"/>
        <w:textAlignment w:val="auto"/>
      </w:pPr>
    </w:p>
    <w:p>
      <w:pPr>
        <w:pStyle w:val="2"/>
        <w:keepNext w:val="0"/>
        <w:keepLines w:val="0"/>
        <w:pageBreakBefore w:val="0"/>
        <w:kinsoku/>
        <w:wordWrap/>
        <w:overflowPunct/>
        <w:topLinePunct w:val="0"/>
        <w:autoSpaceDE/>
        <w:autoSpaceDN/>
        <w:bidi w:val="0"/>
        <w:adjustRightInd/>
        <w:spacing w:line="594" w:lineRule="exact"/>
        <w:ind w:right="0" w:rightChars="0"/>
        <w:textAlignment w:val="auto"/>
      </w:pPr>
    </w:p>
    <w:p>
      <w:pPr>
        <w:pStyle w:val="2"/>
        <w:keepNext w:val="0"/>
        <w:keepLines w:val="0"/>
        <w:pageBreakBefore w:val="0"/>
        <w:kinsoku/>
        <w:wordWrap/>
        <w:overflowPunct/>
        <w:topLinePunct w:val="0"/>
        <w:autoSpaceDE/>
        <w:autoSpaceDN/>
        <w:bidi w:val="0"/>
        <w:adjustRightInd/>
        <w:spacing w:line="594" w:lineRule="exact"/>
        <w:ind w:right="0" w:rightChars="0"/>
        <w:textAlignment w:val="auto"/>
      </w:pPr>
    </w:p>
    <w:p>
      <w:pPr>
        <w:pStyle w:val="2"/>
        <w:keepNext w:val="0"/>
        <w:keepLines w:val="0"/>
        <w:pageBreakBefore w:val="0"/>
        <w:kinsoku/>
        <w:wordWrap/>
        <w:overflowPunct/>
        <w:topLinePunct w:val="0"/>
        <w:autoSpaceDE/>
        <w:autoSpaceDN/>
        <w:bidi w:val="0"/>
        <w:adjustRightInd/>
        <w:spacing w:line="594" w:lineRule="exact"/>
        <w:ind w:right="0" w:rightChars="0"/>
        <w:textAlignment w:val="auto"/>
      </w:pPr>
    </w:p>
    <w:p>
      <w:pPr>
        <w:pStyle w:val="2"/>
        <w:keepNext w:val="0"/>
        <w:keepLines w:val="0"/>
        <w:pageBreakBefore w:val="0"/>
        <w:kinsoku/>
        <w:wordWrap/>
        <w:overflowPunct/>
        <w:topLinePunct w:val="0"/>
        <w:autoSpaceDE/>
        <w:autoSpaceDN/>
        <w:bidi w:val="0"/>
        <w:adjustRightInd/>
        <w:spacing w:line="594" w:lineRule="exact"/>
        <w:ind w:right="0" w:rightChars="0"/>
        <w:textAlignment w:val="auto"/>
      </w:pPr>
    </w:p>
    <w:p>
      <w:pPr>
        <w:pStyle w:val="2"/>
        <w:pageBreakBefore w:val="0"/>
        <w:kinsoku/>
        <w:wordWrap/>
        <w:overflowPunct/>
        <w:topLinePunct w:val="0"/>
        <w:bidi w:val="0"/>
        <w:spacing w:line="594" w:lineRule="exact"/>
        <w:textAlignment w:val="auto"/>
      </w:pPr>
    </w:p>
    <w:p>
      <w:pPr>
        <w:pageBreakBefore w:val="0"/>
        <w:kinsoku/>
        <w:wordWrap/>
        <w:overflowPunct/>
        <w:topLinePunct w:val="0"/>
        <w:autoSpaceDN w:val="0"/>
        <w:bidi w:val="0"/>
        <w:spacing w:line="594" w:lineRule="exact"/>
        <w:ind w:left="0" w:leftChars="0" w:right="-70" w:rightChars="-22" w:firstLine="0" w:firstLineChars="0"/>
        <w:jc w:val="center"/>
        <w:textAlignment w:val="auto"/>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第</w:t>
      </w:r>
      <w:r>
        <w:rPr>
          <w:rFonts w:hint="eastAsia" w:eastAsia="方正黑体_GBK" w:cs="Times New Roman"/>
          <w:b/>
          <w:color w:val="auto"/>
          <w:sz w:val="36"/>
          <w:szCs w:val="36"/>
          <w:highlight w:val="none"/>
          <w:lang w:val="en-US" w:eastAsia="zh-CN"/>
        </w:rPr>
        <w:t>四</w:t>
      </w:r>
      <w:r>
        <w:rPr>
          <w:rFonts w:hint="default" w:ascii="Times New Roman" w:hAnsi="Times New Roman" w:eastAsia="方正黑体_GBK" w:cs="Times New Roman"/>
          <w:b/>
          <w:color w:val="auto"/>
          <w:sz w:val="36"/>
          <w:szCs w:val="36"/>
          <w:highlight w:val="none"/>
          <w:lang w:val="en-US" w:eastAsia="zh-CN"/>
        </w:rPr>
        <w:t xml:space="preserve">部分 </w:t>
      </w:r>
      <w:r>
        <w:rPr>
          <w:rFonts w:hint="default" w:ascii="Times New Roman" w:hAnsi="Times New Roman" w:eastAsia="方正黑体_GBK" w:cs="Times New Roman"/>
          <w:b/>
          <w:color w:val="auto"/>
          <w:sz w:val="36"/>
          <w:szCs w:val="36"/>
          <w:highlight w:val="none"/>
        </w:rPr>
        <w:t>投标文件格式</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文件按以下内容的先后顺序进行编制，并装订成册，每页加盖公章</w:t>
      </w:r>
      <w:r>
        <w:rPr>
          <w:rFonts w:hint="default" w:ascii="Times New Roman" w:hAnsi="Times New Roman" w:eastAsia="方正仿宋_GBK" w:cs="Times New Roman"/>
          <w:b w:val="0"/>
          <w:bCs w:val="0"/>
          <w:color w:val="auto"/>
          <w:sz w:val="24"/>
          <w:szCs w:val="24"/>
          <w:highlight w:val="none"/>
          <w:lang w:eastAsia="zh-CN"/>
        </w:rPr>
        <w:t>）</w:t>
      </w:r>
    </w:p>
    <w:p>
      <w:pPr>
        <w:pStyle w:val="2"/>
        <w:pageBreakBefore w:val="0"/>
        <w:kinsoku/>
        <w:wordWrap/>
        <w:overflowPunct/>
        <w:topLinePunct w:val="0"/>
        <w:bidi w:val="0"/>
        <w:spacing w:line="594" w:lineRule="exact"/>
        <w:jc w:val="center"/>
        <w:textAlignment w:val="auto"/>
        <w:rPr>
          <w:rFonts w:hint="default" w:ascii="Times New Roman" w:hAnsi="Times New Roman" w:cs="Times New Roman"/>
          <w:b/>
          <w:color w:val="auto"/>
          <w:sz w:val="44"/>
          <w:szCs w:val="4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sz w:val="84"/>
          <w:szCs w:val="84"/>
          <w:highlight w:val="none"/>
        </w:rPr>
      </w:pPr>
      <w:r>
        <w:rPr>
          <w:rFonts w:hint="eastAsia" w:ascii="Times New Roman" w:hAnsi="Times New Roman" w:eastAsia="方正小标宋_GBK" w:cs="Times New Roman"/>
          <w:b/>
          <w:bCs/>
          <w:color w:val="000000"/>
          <w:sz w:val="36"/>
          <w:szCs w:val="36"/>
          <w:highlight w:val="none"/>
          <w:lang w:val="en-US" w:eastAsia="zh-CN"/>
        </w:rPr>
        <w:t>重庆市农业投资集团有限公司常年税务顾问项目</w:t>
      </w: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_GBK" w:cs="Times New Roman"/>
          <w:b/>
          <w:color w:val="auto"/>
          <w:sz w:val="72"/>
          <w:szCs w:val="7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_GBK" w:cs="Times New Roman"/>
          <w:b/>
          <w:color w:val="auto"/>
          <w:sz w:val="72"/>
          <w:szCs w:val="72"/>
          <w:highlight w:val="none"/>
        </w:rPr>
      </w:pPr>
      <w:r>
        <w:rPr>
          <w:rFonts w:hint="default" w:ascii="Times New Roman" w:hAnsi="Times New Roman" w:eastAsia="方正小标宋_GBK" w:cs="Times New Roman"/>
          <w:b/>
          <w:color w:val="auto"/>
          <w:sz w:val="72"/>
          <w:szCs w:val="72"/>
          <w:highlight w:val="none"/>
          <w:lang w:eastAsia="zh-CN"/>
        </w:rPr>
        <w:t>比</w:t>
      </w:r>
      <w:r>
        <w:rPr>
          <w:rFonts w:hint="default" w:ascii="Times New Roman" w:hAnsi="Times New Roman" w:eastAsia="方正小标宋_GBK" w:cs="Times New Roman"/>
          <w:b/>
          <w:color w:val="auto"/>
          <w:sz w:val="72"/>
          <w:szCs w:val="72"/>
          <w:highlight w:val="none"/>
          <w:lang w:val="en-US" w:eastAsia="zh-CN"/>
        </w:rPr>
        <w:t xml:space="preserve"> </w:t>
      </w:r>
      <w:r>
        <w:rPr>
          <w:rFonts w:hint="default" w:ascii="Times New Roman" w:hAnsi="Times New Roman" w:eastAsia="方正小标宋_GBK" w:cs="Times New Roman"/>
          <w:b/>
          <w:color w:val="auto"/>
          <w:sz w:val="72"/>
          <w:szCs w:val="72"/>
          <w:highlight w:val="none"/>
          <w:lang w:eastAsia="zh-CN"/>
        </w:rPr>
        <w:t>选</w:t>
      </w:r>
      <w:r>
        <w:rPr>
          <w:rFonts w:hint="default" w:ascii="Times New Roman" w:hAnsi="Times New Roman" w:eastAsia="方正小标宋_GBK" w:cs="Times New Roman"/>
          <w:b/>
          <w:color w:val="auto"/>
          <w:sz w:val="72"/>
          <w:szCs w:val="72"/>
          <w:highlight w:val="none"/>
          <w:lang w:val="en-US" w:eastAsia="zh-CN"/>
        </w:rPr>
        <w:t xml:space="preserve"> </w:t>
      </w:r>
      <w:r>
        <w:rPr>
          <w:rFonts w:hint="default" w:ascii="Times New Roman" w:hAnsi="Times New Roman" w:eastAsia="方正小标宋_GBK" w:cs="Times New Roman"/>
          <w:b/>
          <w:color w:val="auto"/>
          <w:sz w:val="72"/>
          <w:szCs w:val="72"/>
          <w:highlight w:val="none"/>
          <w:lang w:eastAsia="zh-CN"/>
        </w:rPr>
        <w:t>响</w:t>
      </w:r>
      <w:r>
        <w:rPr>
          <w:rFonts w:hint="default" w:ascii="Times New Roman" w:hAnsi="Times New Roman" w:eastAsia="方正小标宋_GBK" w:cs="Times New Roman"/>
          <w:b/>
          <w:color w:val="auto"/>
          <w:sz w:val="72"/>
          <w:szCs w:val="72"/>
          <w:highlight w:val="none"/>
          <w:lang w:val="en-US" w:eastAsia="zh-CN"/>
        </w:rPr>
        <w:t xml:space="preserve"> </w:t>
      </w:r>
      <w:r>
        <w:rPr>
          <w:rFonts w:hint="default" w:ascii="Times New Roman" w:hAnsi="Times New Roman" w:eastAsia="方正小标宋_GBK" w:cs="Times New Roman"/>
          <w:b/>
          <w:color w:val="auto"/>
          <w:sz w:val="72"/>
          <w:szCs w:val="72"/>
          <w:highlight w:val="none"/>
          <w:lang w:eastAsia="zh-CN"/>
        </w:rPr>
        <w:t>应</w:t>
      </w:r>
      <w:r>
        <w:rPr>
          <w:rFonts w:hint="default" w:ascii="Times New Roman" w:hAnsi="Times New Roman" w:eastAsia="方正小标宋_GBK" w:cs="Times New Roman"/>
          <w:b/>
          <w:color w:val="auto"/>
          <w:sz w:val="72"/>
          <w:szCs w:val="72"/>
          <w:highlight w:val="none"/>
        </w:rPr>
        <w:t xml:space="preserve"> 文 件</w:t>
      </w:r>
    </w:p>
    <w:p>
      <w:pPr>
        <w:pStyle w:val="2"/>
        <w:pageBreakBefore w:val="0"/>
        <w:kinsoku/>
        <w:wordWrap/>
        <w:overflowPunct/>
        <w:topLinePunct w:val="0"/>
        <w:bidi w:val="0"/>
        <w:spacing w:line="594" w:lineRule="exact"/>
        <w:jc w:val="center"/>
        <w:textAlignment w:val="auto"/>
        <w:rPr>
          <w:rFonts w:hint="default" w:ascii="Times New Roman" w:hAnsi="Times New Roman" w:eastAsia="方正小标宋_GBK" w:cs="Times New Roman"/>
          <w:b/>
          <w:color w:val="auto"/>
          <w:sz w:val="44"/>
          <w:szCs w:val="44"/>
          <w:highlight w:val="none"/>
        </w:rPr>
      </w:pPr>
    </w:p>
    <w:p>
      <w:pPr>
        <w:pageBreakBefore w:val="0"/>
        <w:kinsoku/>
        <w:wordWrap/>
        <w:overflowPunct/>
        <w:topLinePunct w:val="0"/>
        <w:bidi w:val="0"/>
        <w:spacing w:line="594" w:lineRule="exact"/>
        <w:textAlignment w:val="auto"/>
        <w:rPr>
          <w:rFonts w:hint="default" w:ascii="Times New Roman" w:hAnsi="Times New Roman" w:eastAsia="方正小标宋_GBK" w:cs="Times New Roman"/>
          <w:b/>
          <w:color w:val="auto"/>
          <w:sz w:val="28"/>
          <w:szCs w:val="28"/>
          <w:highlight w:val="none"/>
          <w:u w:val="single"/>
        </w:rPr>
      </w:pPr>
    </w:p>
    <w:p>
      <w:pPr>
        <w:pStyle w:val="18"/>
        <w:pageBreakBefore w:val="0"/>
        <w:kinsoku/>
        <w:wordWrap/>
        <w:overflowPunct/>
        <w:topLinePunct w:val="0"/>
        <w:bidi w:val="0"/>
        <w:spacing w:line="594" w:lineRule="exact"/>
        <w:textAlignment w:val="auto"/>
        <w:rPr>
          <w:rFonts w:hint="default"/>
        </w:rPr>
      </w:pPr>
    </w:p>
    <w:p>
      <w:pPr>
        <w:pageBreakBefore w:val="0"/>
        <w:kinsoku/>
        <w:wordWrap/>
        <w:overflowPunct/>
        <w:topLinePunct w:val="0"/>
        <w:bidi w:val="0"/>
        <w:spacing w:line="594" w:lineRule="exact"/>
        <w:textAlignment w:val="auto"/>
        <w:rPr>
          <w:rFonts w:hint="default" w:ascii="Times New Roman" w:hAnsi="Times New Roman" w:eastAsia="方正小标宋_GBK" w:cs="Times New Roman"/>
          <w:color w:val="auto"/>
          <w:highlight w:val="none"/>
        </w:rPr>
      </w:pPr>
    </w:p>
    <w:p>
      <w:pPr>
        <w:pageBreakBefore w:val="0"/>
        <w:kinsoku/>
        <w:wordWrap/>
        <w:overflowPunct/>
        <w:topLinePunct w:val="0"/>
        <w:bidi w:val="0"/>
        <w:spacing w:line="594" w:lineRule="exact"/>
        <w:textAlignment w:val="auto"/>
        <w:rPr>
          <w:rFonts w:hint="default" w:ascii="Times New Roman" w:hAnsi="Times New Roman" w:eastAsia="方正小标宋_GBK" w:cs="Times New Roman"/>
          <w:b/>
          <w:color w:val="auto"/>
          <w:sz w:val="28"/>
          <w:szCs w:val="28"/>
          <w:highlight w:val="none"/>
          <w:u w:val="single"/>
        </w:rPr>
      </w:pPr>
    </w:p>
    <w:p>
      <w:pPr>
        <w:pageBreakBefore w:val="0"/>
        <w:kinsoku/>
        <w:wordWrap/>
        <w:overflowPunct/>
        <w:topLinePunct w:val="0"/>
        <w:bidi w:val="0"/>
        <w:spacing w:line="594" w:lineRule="exact"/>
        <w:jc w:val="left"/>
        <w:textAlignment w:val="auto"/>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w:t>
      </w:r>
      <w:r>
        <w:rPr>
          <w:rFonts w:hint="eastAsia" w:eastAsia="方正小标宋_GBK" w:cs="Times New Roman"/>
          <w:b/>
          <w:color w:val="auto"/>
          <w:sz w:val="28"/>
          <w:szCs w:val="28"/>
          <w:highlight w:val="none"/>
          <w:lang w:eastAsia="zh-CN"/>
        </w:rPr>
        <w:t>工作单位</w:t>
      </w:r>
      <w:r>
        <w:rPr>
          <w:rFonts w:hint="default" w:ascii="Times New Roman" w:hAnsi="Times New Roman" w:eastAsia="方正小标宋_GBK" w:cs="Times New Roman"/>
          <w:b/>
          <w:color w:val="auto"/>
          <w:sz w:val="28"/>
          <w:szCs w:val="28"/>
          <w:highlight w:val="none"/>
        </w:rPr>
        <w:t>盖章）</w:t>
      </w:r>
    </w:p>
    <w:p>
      <w:pPr>
        <w:pageBreakBefore w:val="0"/>
        <w:kinsoku/>
        <w:wordWrap/>
        <w:overflowPunct/>
        <w:topLinePunct w:val="0"/>
        <w:bidi w:val="0"/>
        <w:spacing w:line="594" w:lineRule="exact"/>
        <w:jc w:val="left"/>
        <w:textAlignment w:val="auto"/>
        <w:rPr>
          <w:rFonts w:hint="default" w:ascii="Times New Roman" w:hAnsi="Times New Roman" w:eastAsia="方正小标宋_GBK" w:cs="Times New Roman"/>
          <w:b/>
          <w:color w:val="auto"/>
          <w:sz w:val="28"/>
          <w:szCs w:val="28"/>
          <w:highlight w:val="none"/>
        </w:rPr>
      </w:pPr>
    </w:p>
    <w:p>
      <w:pPr>
        <w:pageBreakBefore w:val="0"/>
        <w:kinsoku/>
        <w:wordWrap/>
        <w:overflowPunct/>
        <w:topLinePunct w:val="0"/>
        <w:bidi w:val="0"/>
        <w:spacing w:line="594" w:lineRule="exact"/>
        <w:jc w:val="left"/>
        <w:textAlignment w:val="auto"/>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w:t>
      </w:r>
    </w:p>
    <w:p>
      <w:pPr>
        <w:pageBreakBefore w:val="0"/>
        <w:kinsoku/>
        <w:wordWrap/>
        <w:overflowPunct/>
        <w:topLinePunct w:val="0"/>
        <w:bidi w:val="0"/>
        <w:spacing w:line="594" w:lineRule="exact"/>
        <w:jc w:val="left"/>
        <w:textAlignment w:val="auto"/>
        <w:rPr>
          <w:rFonts w:hint="default" w:ascii="Times New Roman" w:hAnsi="Times New Roman" w:eastAsia="方正小标宋_GBK" w:cs="Times New Roman"/>
          <w:b/>
          <w:color w:val="auto"/>
          <w:sz w:val="28"/>
          <w:szCs w:val="28"/>
          <w:highlight w:val="none"/>
        </w:rPr>
      </w:pPr>
    </w:p>
    <w:p>
      <w:pPr>
        <w:pStyle w:val="18"/>
        <w:pageBreakBefore w:val="0"/>
        <w:kinsoku/>
        <w:wordWrap/>
        <w:overflowPunct/>
        <w:topLinePunct w:val="0"/>
        <w:bidi w:val="0"/>
        <w:spacing w:line="594" w:lineRule="exact"/>
        <w:textAlignment w:val="auto"/>
        <w:rPr>
          <w:rFonts w:hint="default" w:ascii="Times New Roman" w:hAnsi="Times New Roman" w:cs="Times New Roman"/>
          <w:color w:val="auto"/>
          <w:highlight w:val="none"/>
        </w:rPr>
      </w:pPr>
    </w:p>
    <w:p>
      <w:pPr>
        <w:pageBreakBefore w:val="0"/>
        <w:kinsoku/>
        <w:wordWrap/>
        <w:overflowPunct/>
        <w:topLinePunct w:val="0"/>
        <w:bidi w:val="0"/>
        <w:spacing w:line="594" w:lineRule="exact"/>
        <w:jc w:val="left"/>
        <w:textAlignment w:val="auto"/>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pPr>
        <w:pageBreakBefore w:val="0"/>
        <w:kinsoku/>
        <w:wordWrap/>
        <w:overflowPunct/>
        <w:topLinePunct w:val="0"/>
        <w:bidi w:val="0"/>
        <w:spacing w:line="594" w:lineRule="exact"/>
        <w:jc w:val="center"/>
        <w:textAlignment w:val="auto"/>
        <w:rPr>
          <w:rFonts w:hint="default" w:ascii="Times New Roman" w:hAnsi="Times New Roman" w:eastAsia="方正仿宋_GBK" w:cs="Times New Roman"/>
          <w:color w:val="auto"/>
          <w:sz w:val="36"/>
          <w:szCs w:val="32"/>
          <w:highlight w:val="none"/>
        </w:rPr>
      </w:pPr>
    </w:p>
    <w:p>
      <w:pPr>
        <w:pageBreakBefore w:val="0"/>
        <w:kinsoku/>
        <w:wordWrap/>
        <w:overflowPunct/>
        <w:topLinePunct w:val="0"/>
        <w:bidi w:val="0"/>
        <w:spacing w:line="594" w:lineRule="exact"/>
        <w:jc w:val="center"/>
        <w:textAlignment w:val="auto"/>
        <w:rPr>
          <w:rFonts w:hint="default" w:ascii="Times New Roman" w:hAnsi="Times New Roman" w:eastAsia="方正仿宋_GBK" w:cs="Times New Roman"/>
          <w:color w:val="auto"/>
          <w:sz w:val="36"/>
          <w:szCs w:val="32"/>
          <w:highlight w:val="none"/>
        </w:rPr>
      </w:pPr>
    </w:p>
    <w:p>
      <w:pPr>
        <w:pStyle w:val="2"/>
        <w:pageBreakBefore w:val="0"/>
        <w:kinsoku/>
        <w:wordWrap/>
        <w:overflowPunct/>
        <w:topLinePunct w:val="0"/>
        <w:bidi w:val="0"/>
        <w:spacing w:line="594" w:lineRule="exact"/>
        <w:textAlignment w:val="auto"/>
        <w:rPr>
          <w:rFonts w:hint="default"/>
        </w:rPr>
      </w:pPr>
    </w:p>
    <w:p>
      <w:pPr>
        <w:pStyle w:val="2"/>
        <w:pageBreakBefore w:val="0"/>
        <w:kinsoku/>
        <w:wordWrap/>
        <w:overflowPunct/>
        <w:topLinePunct w:val="0"/>
        <w:bidi w:val="0"/>
        <w:spacing w:line="594" w:lineRule="exact"/>
        <w:textAlignment w:val="auto"/>
        <w:rPr>
          <w:rFonts w:hint="default"/>
        </w:rPr>
      </w:pPr>
    </w:p>
    <w:p>
      <w:pPr>
        <w:pageBreakBefore w:val="0"/>
        <w:kinsoku/>
        <w:wordWrap/>
        <w:overflowPunct/>
        <w:topLinePunct w:val="0"/>
        <w:bidi w:val="0"/>
        <w:spacing w:line="594"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目录</w:t>
      </w:r>
      <w:bookmarkEnd w:id="1"/>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（本目录为格式，要求投标人在投标文件</w:t>
      </w:r>
      <w:r>
        <w:rPr>
          <w:rFonts w:hint="eastAsia" w:ascii="方正仿宋_GBK" w:hAnsi="方正仿宋_GBK" w:eastAsia="方正仿宋_GBK" w:cs="方正仿宋_GBK"/>
          <w:color w:val="auto"/>
          <w:sz w:val="32"/>
          <w:szCs w:val="32"/>
          <w:highlight w:val="none"/>
          <w:lang w:eastAsia="zh-CN"/>
        </w:rPr>
        <w:t>装订过程中按以下顺序装订，可标记页码</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bookmarkStart w:id="2" w:name="_Toc184635138"/>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rPr>
        <w:t>投标</w:t>
      </w:r>
      <w:r>
        <w:rPr>
          <w:rFonts w:hint="eastAsia" w:ascii="方正仿宋_GBK" w:hAnsi="方正仿宋_GBK" w:eastAsia="方正仿宋_GBK" w:cs="方正仿宋_GBK"/>
          <w:color w:val="auto"/>
          <w:sz w:val="32"/>
          <w:szCs w:val="32"/>
          <w:highlight w:val="none"/>
          <w:lang w:val="en-US" w:eastAsia="zh-CN"/>
        </w:rPr>
        <w:t>报价</w:t>
      </w:r>
      <w:r>
        <w:rPr>
          <w:rFonts w:hint="eastAsia" w:ascii="方正仿宋_GBK" w:hAnsi="方正仿宋_GBK" w:eastAsia="方正仿宋_GBK" w:cs="方正仿宋_GBK"/>
          <w:color w:val="auto"/>
          <w:sz w:val="32"/>
          <w:szCs w:val="32"/>
          <w:highlight w:val="none"/>
        </w:rPr>
        <w:t>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二、商务及资质证明文件</w:t>
      </w:r>
    </w:p>
    <w:p>
      <w:pPr>
        <w:keepNext w:val="0"/>
        <w:keepLines w:val="0"/>
        <w:pageBreakBefore w:val="0"/>
        <w:widowControl/>
        <w:kinsoku/>
        <w:wordWrap/>
        <w:overflowPunct/>
        <w:topLinePunct w:val="0"/>
        <w:bidi w:val="0"/>
        <w:snapToGrid/>
        <w:spacing w:line="594" w:lineRule="exact"/>
        <w:ind w:left="480" w:leftChars="150" w:firstLine="0" w:firstLineChars="0"/>
        <w:jc w:val="left"/>
        <w:textAlignment w:val="auto"/>
        <w:rPr>
          <w:rFonts w:hint="eastAsia" w:ascii="方正仿宋_GBK" w:hAnsi="方正仿宋_GBK" w:eastAsia="方正仿宋_GBK" w:cs="方正仿宋_GBK"/>
          <w:color w:val="000000"/>
          <w:kern w:val="0"/>
          <w:sz w:val="32"/>
          <w:szCs w:val="32"/>
          <w:highlight w:val="none"/>
          <w:lang w:eastAsia="zh-CN"/>
        </w:rPr>
      </w:pPr>
      <w:r>
        <w:rPr>
          <w:rFonts w:hint="eastAsia" w:ascii="方正仿宋_GBK" w:hAnsi="方正仿宋_GBK" w:eastAsia="方正仿宋_GBK" w:cs="方正仿宋_GBK"/>
          <w:color w:val="000000"/>
          <w:kern w:val="0"/>
          <w:sz w:val="32"/>
          <w:szCs w:val="32"/>
          <w:highlight w:val="none"/>
          <w:lang w:val="en-US" w:eastAsia="zh-CN"/>
        </w:rPr>
        <w:t>1、具有独立承担民事责任能力的独立法人企业，具有税务咨询相应资质</w:t>
      </w:r>
      <w:r>
        <w:rPr>
          <w:rFonts w:hint="eastAsia" w:ascii="方正仿宋_GBK" w:hAnsi="方正仿宋_GBK" w:eastAsia="方正仿宋_GBK" w:cs="方正仿宋_GBK"/>
          <w:color w:val="000000"/>
          <w:kern w:val="0"/>
          <w:sz w:val="32"/>
          <w:szCs w:val="32"/>
          <w:highlight w:val="none"/>
          <w:lang w:eastAsia="zh-CN"/>
        </w:rPr>
        <w:t>（提供企业营业执照和法定代表人身份证明</w:t>
      </w:r>
      <w:r>
        <w:rPr>
          <w:rFonts w:hint="eastAsia" w:ascii="方正仿宋_GBK" w:hAnsi="方正仿宋_GBK" w:eastAsia="方正仿宋_GBK" w:cs="方正仿宋_GBK"/>
          <w:color w:val="000000"/>
          <w:kern w:val="0"/>
          <w:sz w:val="32"/>
          <w:szCs w:val="32"/>
          <w:highlight w:val="none"/>
          <w:lang w:val="en-US" w:eastAsia="zh-CN"/>
        </w:rPr>
        <w:t>复印件</w:t>
      </w:r>
      <w:r>
        <w:rPr>
          <w:rFonts w:hint="eastAsia" w:ascii="方正仿宋_GBK" w:hAnsi="方正仿宋_GBK" w:eastAsia="方正仿宋_GBK" w:cs="方正仿宋_GBK"/>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法人</w:t>
      </w:r>
      <w:r>
        <w:rPr>
          <w:rFonts w:hint="eastAsia" w:ascii="方正仿宋_GBK" w:hAnsi="方正仿宋_GBK" w:eastAsia="方正仿宋_GBK" w:cs="方正仿宋_GBK"/>
          <w:color w:val="auto"/>
          <w:sz w:val="32"/>
          <w:szCs w:val="32"/>
          <w:highlight w:val="none"/>
        </w:rPr>
        <w:t>授权书</w:t>
      </w:r>
      <w:r>
        <w:rPr>
          <w:rFonts w:hint="eastAsia" w:ascii="方正仿宋_GBK" w:hAnsi="方正仿宋_GBK" w:eastAsia="方正仿宋_GBK" w:cs="方正仿宋_GBK"/>
          <w:color w:val="auto"/>
          <w:sz w:val="32"/>
          <w:szCs w:val="32"/>
          <w:highlight w:val="none"/>
          <w:lang w:val="en-US" w:eastAsia="zh-CN"/>
        </w:rPr>
        <w:t>原件及</w:t>
      </w:r>
      <w:r>
        <w:rPr>
          <w:rFonts w:hint="eastAsia" w:ascii="方正仿宋_GBK" w:hAnsi="方正仿宋_GBK" w:eastAsia="方正仿宋_GBK" w:cs="方正仿宋_GBK"/>
          <w:color w:val="auto"/>
          <w:sz w:val="32"/>
          <w:szCs w:val="32"/>
          <w:highlight w:val="none"/>
        </w:rPr>
        <w:t>被授权人身份证</w:t>
      </w:r>
      <w:r>
        <w:rPr>
          <w:rFonts w:hint="eastAsia" w:ascii="方正仿宋_GBK" w:hAnsi="方正仿宋_GBK" w:eastAsia="方正仿宋_GBK" w:cs="方正仿宋_GBK"/>
          <w:color w:val="auto"/>
          <w:sz w:val="32"/>
          <w:szCs w:val="32"/>
          <w:highlight w:val="none"/>
          <w:lang w:val="en-US" w:eastAsia="zh-CN"/>
        </w:rPr>
        <w:t>明</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复印</w:t>
      </w:r>
      <w:r>
        <w:rPr>
          <w:rFonts w:hint="eastAsia" w:ascii="方正仿宋_GBK" w:hAnsi="方正仿宋_GBK" w:eastAsia="方正仿宋_GBK" w:cs="方正仿宋_GBK"/>
          <w:color w:val="auto"/>
          <w:sz w:val="32"/>
          <w:szCs w:val="32"/>
          <w:highlight w:val="none"/>
        </w:rPr>
        <w:t>件）</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kinsoku/>
        <w:wordWrap/>
        <w:overflowPunct/>
        <w:topLinePunct w:val="0"/>
        <w:bidi w:val="0"/>
        <w:snapToGrid/>
        <w:spacing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eastAsia="zh-CN"/>
        </w:rPr>
      </w:pPr>
      <w:r>
        <w:rPr>
          <w:rFonts w:hint="eastAsia" w:ascii="方正仿宋_GBK" w:hAnsi="方正仿宋_GBK" w:eastAsia="方正仿宋_GBK" w:cs="方正仿宋_GBK"/>
          <w:color w:val="000000"/>
          <w:kern w:val="0"/>
          <w:sz w:val="32"/>
          <w:szCs w:val="32"/>
          <w:highlight w:val="none"/>
          <w:lang w:val="en-US" w:eastAsia="zh-CN"/>
        </w:rPr>
        <w:t>3</w:t>
      </w:r>
      <w:r>
        <w:rPr>
          <w:rFonts w:hint="eastAsia" w:ascii="方正仿宋_GBK" w:hAnsi="方正仿宋_GBK" w:eastAsia="方正仿宋_GBK" w:cs="方正仿宋_GBK"/>
          <w:color w:val="000000"/>
          <w:kern w:val="0"/>
          <w:sz w:val="32"/>
          <w:szCs w:val="32"/>
          <w:highlight w:val="none"/>
        </w:rPr>
        <w:t>、</w:t>
      </w:r>
      <w:r>
        <w:rPr>
          <w:rFonts w:hint="eastAsia" w:ascii="方正仿宋_GBK" w:hAnsi="方正仿宋_GBK" w:eastAsia="方正仿宋_GBK" w:cs="方正仿宋_GBK"/>
          <w:color w:val="000000"/>
          <w:kern w:val="0"/>
          <w:sz w:val="32"/>
          <w:szCs w:val="32"/>
          <w:highlight w:val="none"/>
          <w:lang w:eastAsia="zh-CN"/>
        </w:rPr>
        <w:t>在经营活动中没有重大违法记录、没有重大税收违法案件，以报名截止期当日信用中国、中国执行信息公开网、国家企业信用信息公示系统的查询结果为准。必须出具书面承诺函，格式自拟。（查询证明</w:t>
      </w:r>
      <w:r>
        <w:rPr>
          <w:rFonts w:hint="eastAsia" w:ascii="方正仿宋_GBK" w:hAnsi="方正仿宋_GBK" w:eastAsia="方正仿宋_GBK" w:cs="方正仿宋_GBK"/>
          <w:color w:val="000000"/>
          <w:kern w:val="0"/>
          <w:sz w:val="32"/>
          <w:szCs w:val="32"/>
          <w:highlight w:val="none"/>
          <w:lang w:val="en-US" w:eastAsia="zh-CN"/>
        </w:rPr>
        <w:t>及书面承诺书</w:t>
      </w:r>
      <w:r>
        <w:rPr>
          <w:rFonts w:hint="eastAsia" w:ascii="方正仿宋_GBK" w:hAnsi="方正仿宋_GBK" w:eastAsia="方正仿宋_GBK" w:cs="方正仿宋_GBK"/>
          <w:color w:val="000000"/>
          <w:kern w:val="0"/>
          <w:sz w:val="32"/>
          <w:szCs w:val="32"/>
          <w:highlight w:val="none"/>
          <w:lang w:eastAsia="zh-CN"/>
        </w:rPr>
        <w:t>）。</w:t>
      </w:r>
    </w:p>
    <w:p>
      <w:pPr>
        <w:keepNext w:val="0"/>
        <w:keepLines w:val="0"/>
        <w:pageBreakBefore w:val="0"/>
        <w:kinsoku/>
        <w:wordWrap/>
        <w:overflowPunct/>
        <w:topLinePunct w:val="0"/>
        <w:bidi w:val="0"/>
        <w:snapToGrid/>
        <w:spacing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color w:val="auto"/>
          <w:kern w:val="0"/>
          <w:sz w:val="32"/>
          <w:szCs w:val="32"/>
          <w:highlight w:val="none"/>
          <w:lang w:val="en-US" w:eastAsia="zh-CN"/>
        </w:rPr>
        <w:t>4、</w:t>
      </w:r>
      <w:r>
        <w:rPr>
          <w:rFonts w:hint="eastAsia" w:ascii="方正仿宋_GBK" w:hAnsi="方正仿宋_GBK" w:eastAsia="方正仿宋_GBK" w:cs="方正仿宋_GBK"/>
          <w:color w:val="auto"/>
          <w:sz w:val="32"/>
          <w:szCs w:val="32"/>
          <w:highlight w:val="none"/>
          <w:lang w:val="en-US" w:eastAsia="zh-CN"/>
        </w:rPr>
        <w:t>《项目开展计划及方案》，</w:t>
      </w:r>
      <w:r>
        <w:rPr>
          <w:rFonts w:hint="eastAsia" w:ascii="方正仿宋_GBK" w:hAnsi="方正仿宋_GBK" w:eastAsia="方正仿宋_GBK" w:cs="方正仿宋_GBK"/>
          <w:i w:val="0"/>
          <w:iCs w:val="0"/>
          <w:caps w:val="0"/>
          <w:color w:val="auto"/>
          <w:spacing w:val="0"/>
          <w:sz w:val="32"/>
          <w:szCs w:val="32"/>
          <w:highlight w:val="none"/>
          <w:lang w:val="en-US" w:eastAsia="zh-CN"/>
        </w:rPr>
        <w:t>项目负责人资质及职称证明文件等</w:t>
      </w:r>
      <w:r>
        <w:rPr>
          <w:rFonts w:hint="eastAsia" w:ascii="方正仿宋_GBK" w:hAnsi="方正仿宋_GBK" w:eastAsia="方正仿宋_GBK" w:cs="方正仿宋_GBK"/>
          <w:color w:val="000000"/>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outlineLvl w:val="0"/>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b w:val="0"/>
          <w:bCs w:val="0"/>
          <w:color w:val="000000"/>
          <w:sz w:val="32"/>
          <w:szCs w:val="32"/>
          <w:highlight w:val="none"/>
          <w:lang w:val="en-US" w:eastAsia="zh-CN"/>
        </w:rPr>
        <w:t>5、服务业绩证明（包括但不限于合同、通知、服务企业现场工作佐证等材料复印件）。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outlineLvl w:val="0"/>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b w:val="0"/>
          <w:bCs w:val="0"/>
          <w:color w:val="000000"/>
          <w:sz w:val="32"/>
          <w:szCs w:val="32"/>
          <w:highlight w:val="none"/>
          <w:lang w:val="en-US" w:eastAsia="zh-CN"/>
        </w:rPr>
        <w:t>6、投标人认为必要的其它证明文件。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outlineLvl w:val="0"/>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b w:val="0"/>
          <w:bCs w:val="0"/>
          <w:color w:val="000000"/>
          <w:sz w:val="32"/>
          <w:szCs w:val="32"/>
          <w:highlight w:val="none"/>
          <w:lang w:val="en-US" w:eastAsia="zh-CN"/>
        </w:rPr>
        <w:t>7、投标承诺书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left"/>
        <w:textAlignment w:val="auto"/>
        <w:outlineLvl w:val="0"/>
        <w:rPr>
          <w:rFonts w:hint="eastAsia" w:ascii="方正仿宋_GBK" w:hAnsi="方正仿宋_GBK" w:eastAsia="方正仿宋_GBK" w:cs="方正仿宋_GBK"/>
          <w:b/>
          <w:bCs/>
          <w:color w:val="000000"/>
          <w:sz w:val="32"/>
          <w:szCs w:val="32"/>
          <w:highlight w:val="none"/>
          <w:lang w:val="en-US" w:eastAsia="zh-CN"/>
        </w:rPr>
      </w:pPr>
      <w:r>
        <w:rPr>
          <w:rFonts w:hint="eastAsia" w:ascii="方正仿宋_GBK" w:hAnsi="方正仿宋_GBK" w:eastAsia="方正仿宋_GBK" w:cs="方正仿宋_GBK"/>
          <w:b/>
          <w:bCs/>
          <w:color w:val="000000"/>
          <w:sz w:val="32"/>
          <w:szCs w:val="32"/>
          <w:highlight w:val="none"/>
          <w:lang w:val="en-US" w:eastAsia="zh-CN"/>
        </w:rPr>
        <w:t>注：投标方提供的资质证明材料应真实、合法、有效，一经发现有造假行为，一律作废标处理，并追究法律责任。</w:t>
      </w:r>
    </w:p>
    <w:p>
      <w:pPr>
        <w:pageBreakBefore w:val="0"/>
        <w:kinsoku/>
        <w:wordWrap/>
        <w:overflowPunct/>
        <w:topLinePunct w:val="0"/>
        <w:bidi w:val="0"/>
        <w:spacing w:line="594"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highlight w:val="none"/>
        </w:rPr>
        <w:sectPr>
          <w:footerReference r:id="rId7" w:type="first"/>
          <w:headerReference r:id="rId5" w:type="default"/>
          <w:footerReference r:id="rId6" w:type="default"/>
          <w:pgSz w:w="11906" w:h="16838"/>
          <w:pgMar w:top="1440" w:right="1274" w:bottom="1440" w:left="1440" w:header="851" w:footer="992" w:gutter="0"/>
          <w:pgNumType w:fmt="decimal"/>
          <w:cols w:space="720" w:num="1"/>
          <w:titlePg/>
          <w:docGrid w:type="lines" w:linePitch="312" w:charSpace="0"/>
        </w:sectPr>
      </w:pPr>
    </w:p>
    <w:p>
      <w:pPr>
        <w:pageBreakBefore w:val="0"/>
        <w:kinsoku/>
        <w:wordWrap/>
        <w:overflowPunct/>
        <w:topLinePunct w:val="0"/>
        <w:bidi w:val="0"/>
        <w:spacing w:line="594" w:lineRule="exact"/>
        <w:jc w:val="center"/>
        <w:textAlignment w:val="auto"/>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rPr>
        <w:t>投标</w:t>
      </w:r>
      <w:r>
        <w:rPr>
          <w:rFonts w:hint="eastAsia" w:ascii="方正小标宋_GBK" w:hAnsi="方正小标宋_GBK" w:eastAsia="方正小标宋_GBK" w:cs="方正小标宋_GBK"/>
          <w:b/>
          <w:bCs/>
          <w:color w:val="auto"/>
          <w:sz w:val="44"/>
          <w:szCs w:val="44"/>
          <w:highlight w:val="none"/>
          <w:lang w:val="en-US" w:eastAsia="zh-CN"/>
        </w:rPr>
        <w:t>报价</w:t>
      </w:r>
      <w:r>
        <w:rPr>
          <w:rFonts w:hint="eastAsia" w:ascii="方正小标宋_GBK" w:hAnsi="方正小标宋_GBK" w:eastAsia="方正小标宋_GBK" w:cs="方正小标宋_GBK"/>
          <w:b/>
          <w:bCs/>
          <w:color w:val="auto"/>
          <w:sz w:val="44"/>
          <w:szCs w:val="44"/>
          <w:highlight w:val="none"/>
        </w:rPr>
        <w:t>函</w:t>
      </w:r>
      <w:bookmarkEnd w:id="2"/>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eastAsia" w:ascii="方正仿宋_GBK" w:hAnsi="方正仿宋_GBK" w:eastAsia="方正仿宋_GBK" w:cs="方正仿宋_GBK"/>
          <w:color w:val="auto"/>
          <w:sz w:val="32"/>
          <w:szCs w:val="32"/>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重庆市农业投资集团有限公司：</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我司经</w:t>
      </w:r>
      <w:r>
        <w:rPr>
          <w:rFonts w:hint="eastAsia" w:ascii="方正仿宋_GBK" w:hAnsi="方正仿宋_GBK" w:eastAsia="方正仿宋_GBK" w:cs="方正仿宋_GBK"/>
          <w:color w:val="auto"/>
          <w:sz w:val="32"/>
          <w:szCs w:val="32"/>
          <w:highlight w:val="none"/>
          <w:lang w:eastAsia="zh-CN"/>
        </w:rPr>
        <w:t>全面</w:t>
      </w:r>
      <w:r>
        <w:rPr>
          <w:rFonts w:hint="eastAsia" w:ascii="方正仿宋_GBK" w:hAnsi="方正仿宋_GBK" w:eastAsia="方正仿宋_GBK" w:cs="方正仿宋_GBK"/>
          <w:color w:val="auto"/>
          <w:sz w:val="32"/>
          <w:szCs w:val="32"/>
          <w:highlight w:val="none"/>
          <w:lang w:val="en-US" w:eastAsia="zh-CN"/>
        </w:rPr>
        <w:t>评估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完全理解贵</w:t>
      </w:r>
      <w:r>
        <w:rPr>
          <w:rFonts w:hint="eastAsia" w:ascii="方正仿宋_GBK" w:hAnsi="方正仿宋_GBK" w:eastAsia="方正仿宋_GBK" w:cs="方正仿宋_GBK"/>
          <w:color w:val="auto"/>
          <w:sz w:val="32"/>
          <w:szCs w:val="32"/>
          <w:highlight w:val="none"/>
          <w:lang w:val="en-US" w:eastAsia="zh-CN"/>
        </w:rPr>
        <w:t>集团</w:t>
      </w:r>
      <w:r>
        <w:rPr>
          <w:rFonts w:hint="eastAsia" w:ascii="方正仿宋_GBK" w:hAnsi="方正仿宋_GBK" w:eastAsia="方正仿宋_GBK" w:cs="方正仿宋_GBK"/>
          <w:color w:val="auto"/>
          <w:sz w:val="32"/>
          <w:szCs w:val="32"/>
          <w:highlight w:val="none"/>
        </w:rPr>
        <w:t>本次</w:t>
      </w:r>
      <w:r>
        <w:rPr>
          <w:rFonts w:hint="eastAsia" w:ascii="方正仿宋_GBK" w:hAnsi="方正仿宋_GBK" w:eastAsia="方正仿宋_GBK" w:cs="方正仿宋_GBK"/>
          <w:color w:val="auto"/>
          <w:sz w:val="32"/>
          <w:szCs w:val="32"/>
          <w:highlight w:val="none"/>
          <w:lang w:val="en-US" w:eastAsia="zh-CN"/>
        </w:rPr>
        <w:t>常年税务顾问</w:t>
      </w:r>
      <w:r>
        <w:rPr>
          <w:rFonts w:hint="eastAsia" w:ascii="方正仿宋_GBK" w:hAnsi="方正仿宋_GBK" w:eastAsia="方正仿宋_GBK" w:cs="方正仿宋_GBK"/>
          <w:color w:val="auto"/>
          <w:sz w:val="32"/>
          <w:szCs w:val="32"/>
          <w:highlight w:val="none"/>
          <w:lang w:eastAsia="zh-CN"/>
        </w:rPr>
        <w:t>服务</w:t>
      </w:r>
      <w:r>
        <w:rPr>
          <w:rFonts w:hint="eastAsia" w:ascii="方正仿宋_GBK" w:hAnsi="方正仿宋_GBK" w:eastAsia="方正仿宋_GBK" w:cs="方正仿宋_GBK"/>
          <w:color w:val="auto"/>
          <w:sz w:val="32"/>
          <w:szCs w:val="32"/>
          <w:highlight w:val="none"/>
          <w:lang w:val="en-US" w:eastAsia="zh-CN"/>
        </w:rPr>
        <w:t>项目</w:t>
      </w:r>
      <w:r>
        <w:rPr>
          <w:rFonts w:hint="eastAsia" w:ascii="方正仿宋_GBK" w:hAnsi="方正仿宋_GBK" w:eastAsia="方正仿宋_GBK" w:cs="方正仿宋_GBK"/>
          <w:color w:val="auto"/>
          <w:sz w:val="32"/>
          <w:szCs w:val="32"/>
          <w:highlight w:val="none"/>
        </w:rPr>
        <w:t>内容和要求，决定</w:t>
      </w:r>
      <w:r>
        <w:rPr>
          <w:rFonts w:hint="eastAsia" w:ascii="方正仿宋_GBK" w:hAnsi="方正仿宋_GBK" w:eastAsia="方正仿宋_GBK" w:cs="方正仿宋_GBK"/>
          <w:color w:val="auto"/>
          <w:sz w:val="32"/>
          <w:szCs w:val="32"/>
          <w:highlight w:val="none"/>
          <w:lang w:val="en-US" w:eastAsia="zh-CN"/>
        </w:rPr>
        <w:t>参与贵集团常年顾问服务项目，并按时按要求完成顾问服务内容，提交成果及相关资料（含电子文件和纸质文件），顾问服务费总价（含税费）：</w:t>
      </w:r>
      <w:r>
        <w:rPr>
          <w:rFonts w:hint="eastAsia" w:ascii="方正仿宋_GBK" w:hAnsi="方正仿宋_GBK" w:eastAsia="方正仿宋_GBK" w:cs="方正仿宋_GBK"/>
          <w:color w:val="auto"/>
          <w:sz w:val="32"/>
          <w:szCs w:val="32"/>
          <w:highlight w:val="none"/>
        </w:rPr>
        <w:t>人民币</w:t>
      </w:r>
      <w:r>
        <w:rPr>
          <w:rFonts w:hint="eastAsia" w:ascii="方正仿宋_GBK" w:hAnsi="方正仿宋_GBK" w:eastAsia="方正仿宋_GBK" w:cs="方正仿宋_GBK"/>
          <w:color w:val="auto"/>
          <w:sz w:val="32"/>
          <w:szCs w:val="32"/>
          <w:highlight w:val="none"/>
          <w:lang w:val="en-US" w:eastAsia="zh-CN"/>
        </w:rPr>
        <w:t xml:space="preserve">       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 xml:space="preserve">大写：         </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。我司承诺</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该费用</w:t>
      </w:r>
      <w:r>
        <w:rPr>
          <w:rFonts w:hint="eastAsia" w:ascii="方正仿宋_GBK" w:hAnsi="方正仿宋_GBK" w:eastAsia="方正仿宋_GBK" w:cs="方正仿宋_GBK"/>
          <w:color w:val="auto"/>
          <w:sz w:val="32"/>
          <w:szCs w:val="32"/>
          <w:highlight w:val="none"/>
        </w:rPr>
        <w:t>在合同</w:t>
      </w:r>
      <w:r>
        <w:rPr>
          <w:rFonts w:hint="eastAsia" w:ascii="方正仿宋_GBK" w:hAnsi="方正仿宋_GBK" w:eastAsia="方正仿宋_GBK" w:cs="方正仿宋_GBK"/>
          <w:color w:val="auto"/>
          <w:sz w:val="32"/>
          <w:szCs w:val="32"/>
          <w:highlight w:val="none"/>
          <w:lang w:val="en-US" w:eastAsia="zh-CN"/>
        </w:rPr>
        <w:t>履行</w:t>
      </w:r>
      <w:r>
        <w:rPr>
          <w:rFonts w:hint="eastAsia" w:ascii="方正仿宋_GBK" w:hAnsi="方正仿宋_GBK" w:eastAsia="方正仿宋_GBK" w:cs="方正仿宋_GBK"/>
          <w:color w:val="auto"/>
          <w:sz w:val="32"/>
          <w:szCs w:val="32"/>
          <w:highlight w:val="none"/>
        </w:rPr>
        <w:t>期间不因人工、税金等费用的价格变动而作任何调整。</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我方在此声明，所递交的投标文件及有关资料内容完整、真实</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有效，并负责承担因虚假、不实带来的经济、法律责任。</w:t>
      </w:r>
    </w:p>
    <w:p>
      <w:pPr>
        <w:pageBreakBefore w:val="0"/>
        <w:kinsoku/>
        <w:wordWrap/>
        <w:overflowPunct/>
        <w:topLinePunct w:val="0"/>
        <w:bidi w:val="0"/>
        <w:spacing w:line="594" w:lineRule="exact"/>
        <w:ind w:firstLine="5440" w:firstLineChars="1700"/>
        <w:textAlignment w:val="auto"/>
        <w:rPr>
          <w:rFonts w:hint="eastAsia" w:ascii="方正仿宋_GBK" w:hAnsi="方正仿宋_GBK" w:eastAsia="方正仿宋_GBK" w:cs="方正仿宋_GBK"/>
          <w:color w:val="auto"/>
          <w:sz w:val="32"/>
          <w:szCs w:val="32"/>
          <w:highlight w:val="none"/>
        </w:rPr>
      </w:pPr>
    </w:p>
    <w:p>
      <w:pPr>
        <w:pStyle w:val="2"/>
        <w:rPr>
          <w:rFonts w:hint="eastAsia"/>
        </w:rPr>
      </w:pPr>
    </w:p>
    <w:p>
      <w:pPr>
        <w:pageBreakBefore w:val="0"/>
        <w:kinsoku/>
        <w:wordWrap/>
        <w:overflowPunct/>
        <w:topLinePunct w:val="0"/>
        <w:bidi w:val="0"/>
        <w:spacing w:line="594" w:lineRule="exact"/>
        <w:ind w:firstLine="5440" w:firstLineChars="17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工作单位</w:t>
      </w:r>
      <w:r>
        <w:rPr>
          <w:rFonts w:hint="eastAsia" w:ascii="方正仿宋_GBK" w:hAnsi="方正仿宋_GBK" w:eastAsia="方正仿宋_GBK" w:cs="方正仿宋_GBK"/>
          <w:color w:val="auto"/>
          <w:sz w:val="32"/>
          <w:szCs w:val="32"/>
          <w:highlight w:val="none"/>
        </w:rPr>
        <w:t>盖单位章）</w:t>
      </w:r>
    </w:p>
    <w:p>
      <w:pPr>
        <w:pageBreakBefore w:val="0"/>
        <w:kinsoku/>
        <w:wordWrap/>
        <w:overflowPunct/>
        <w:topLinePunct w:val="0"/>
        <w:bidi w:val="0"/>
        <w:spacing w:line="594" w:lineRule="exact"/>
        <w:ind w:firstLine="5600" w:firstLineChars="175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地址：</w:t>
      </w:r>
      <w:r>
        <w:rPr>
          <w:rFonts w:hint="eastAsia" w:ascii="方正仿宋_GBK" w:hAnsi="方正仿宋_GBK" w:eastAsia="方正仿宋_GBK" w:cs="方正仿宋_GBK"/>
          <w:color w:val="auto"/>
          <w:sz w:val="32"/>
          <w:szCs w:val="32"/>
          <w:highlight w:val="none"/>
          <w:u w:val="single"/>
        </w:rPr>
        <w:t xml:space="preserve">                                 </w:t>
      </w:r>
    </w:p>
    <w:p>
      <w:pPr>
        <w:pageBreakBefore w:val="0"/>
        <w:kinsoku/>
        <w:wordWrap/>
        <w:overflowPunct/>
        <w:topLinePunct w:val="0"/>
        <w:bidi w:val="0"/>
        <w:spacing w:line="594" w:lineRule="exact"/>
        <w:ind w:firstLine="5600" w:firstLineChars="175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电话：</w:t>
      </w:r>
      <w:r>
        <w:rPr>
          <w:rFonts w:hint="eastAsia" w:ascii="方正仿宋_GBK" w:hAnsi="方正仿宋_GBK" w:eastAsia="方正仿宋_GBK" w:cs="方正仿宋_GBK"/>
          <w:color w:val="auto"/>
          <w:sz w:val="32"/>
          <w:szCs w:val="32"/>
          <w:highlight w:val="none"/>
          <w:u w:val="single"/>
        </w:rPr>
        <w:t xml:space="preserve">                                 </w:t>
      </w:r>
    </w:p>
    <w:p>
      <w:pPr>
        <w:pageBreakBefore w:val="0"/>
        <w:kinsoku/>
        <w:wordWrap/>
        <w:overflowPunct/>
        <w:topLinePunct w:val="0"/>
        <w:bidi w:val="0"/>
        <w:spacing w:line="594" w:lineRule="exact"/>
        <w:ind w:firstLine="5600" w:firstLineChars="175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outlineLvl w:val="9"/>
        <w:rPr>
          <w:rFonts w:hint="eastAsia" w:ascii="方正仿宋_GBK" w:hAnsi="方正仿宋_GBK" w:eastAsia="方正仿宋_GBK" w:cs="方正仿宋_GBK"/>
          <w:b/>
          <w:color w:val="auto"/>
          <w:kern w:val="2"/>
          <w:sz w:val="32"/>
          <w:szCs w:val="32"/>
          <w:highlight w:val="none"/>
          <w:lang w:val="en-US" w:eastAsia="zh-CN" w:bidi="ar-SA"/>
        </w:rPr>
      </w:pPr>
      <w:r>
        <w:rPr>
          <w:rFonts w:hint="eastAsia" w:ascii="方正仿宋_GBK" w:hAnsi="方正仿宋_GBK" w:eastAsia="方正仿宋_GBK" w:cs="方正仿宋_GBK"/>
          <w:b/>
          <w:color w:val="auto"/>
          <w:kern w:val="2"/>
          <w:sz w:val="32"/>
          <w:szCs w:val="32"/>
          <w:highlight w:val="none"/>
          <w:lang w:val="en-US" w:eastAsia="zh-CN" w:bidi="ar-SA"/>
        </w:rPr>
        <w:t xml:space="preserve">                                       </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日</w:t>
      </w:r>
    </w:p>
    <w:p>
      <w:pPr>
        <w:pStyle w:val="2"/>
        <w:pageBreakBefore w:val="0"/>
        <w:kinsoku/>
        <w:wordWrap/>
        <w:overflowPunct/>
        <w:topLinePunct w:val="0"/>
        <w:bidi w:val="0"/>
        <w:spacing w:line="594" w:lineRule="exact"/>
        <w:textAlignment w:val="auto"/>
        <w:rPr>
          <w:rFonts w:hint="eastAsia" w:ascii="方正仿宋_GBK" w:hAnsi="方正仿宋_GBK" w:eastAsia="方正仿宋_GBK" w:cs="方正仿宋_GBK"/>
          <w:b/>
          <w:color w:val="auto"/>
          <w:kern w:val="2"/>
          <w:sz w:val="32"/>
          <w:szCs w:val="32"/>
          <w:highlight w:val="none"/>
          <w:lang w:val="en-US" w:eastAsia="zh-CN" w:bidi="ar-SA"/>
        </w:rPr>
      </w:pPr>
    </w:p>
    <w:p>
      <w:pPr>
        <w:pStyle w:val="2"/>
        <w:pageBreakBefore w:val="0"/>
        <w:kinsoku/>
        <w:wordWrap/>
        <w:overflowPunct/>
        <w:topLinePunct w:val="0"/>
        <w:bidi w:val="0"/>
        <w:spacing w:line="594" w:lineRule="exact"/>
        <w:textAlignment w:val="auto"/>
        <w:rPr>
          <w:rFonts w:hint="eastAsia" w:ascii="方正仿宋_GBK" w:hAnsi="方正仿宋_GBK" w:eastAsia="方正仿宋_GBK" w:cs="方正仿宋_GBK"/>
          <w:b/>
          <w:color w:val="auto"/>
          <w:kern w:val="2"/>
          <w:sz w:val="32"/>
          <w:szCs w:val="32"/>
          <w:highlight w:val="none"/>
          <w:lang w:val="en-US" w:eastAsia="zh-CN" w:bidi="ar-SA"/>
        </w:rPr>
      </w:pPr>
    </w:p>
    <w:p>
      <w:pPr>
        <w:pStyle w:val="2"/>
        <w:pageBreakBefore w:val="0"/>
        <w:kinsoku/>
        <w:wordWrap/>
        <w:overflowPunct/>
        <w:topLinePunct w:val="0"/>
        <w:bidi w:val="0"/>
        <w:spacing w:line="594" w:lineRule="exact"/>
        <w:textAlignment w:val="auto"/>
        <w:rPr>
          <w:rFonts w:hint="eastAsia" w:ascii="方正仿宋_GBK" w:hAnsi="方正仿宋_GBK" w:eastAsia="方正仿宋_GBK" w:cs="方正仿宋_GBK"/>
          <w:b/>
          <w:color w:val="auto"/>
          <w:kern w:val="2"/>
          <w:sz w:val="32"/>
          <w:szCs w:val="32"/>
          <w:highlight w:val="none"/>
          <w:lang w:val="en-US" w:eastAsia="zh-CN" w:bidi="ar-SA"/>
        </w:rPr>
      </w:pPr>
    </w:p>
    <w:p>
      <w:pPr>
        <w:pStyle w:val="2"/>
        <w:pageBreakBefore w:val="0"/>
        <w:kinsoku/>
        <w:wordWrap/>
        <w:overflowPunct/>
        <w:topLinePunct w:val="0"/>
        <w:bidi w:val="0"/>
        <w:spacing w:line="594" w:lineRule="exact"/>
        <w:textAlignment w:val="auto"/>
        <w:rPr>
          <w:rFonts w:hint="eastAsia" w:ascii="方正仿宋_GBK" w:hAnsi="方正仿宋_GBK" w:eastAsia="方正仿宋_GBK" w:cs="方正仿宋_GBK"/>
          <w:b/>
          <w:color w:val="auto"/>
          <w:kern w:val="2"/>
          <w:sz w:val="32"/>
          <w:szCs w:val="32"/>
          <w:highlight w:val="none"/>
          <w:lang w:val="en-US" w:eastAsia="zh-CN" w:bidi="ar-SA"/>
        </w:rPr>
      </w:pPr>
    </w:p>
    <w:p>
      <w:pPr>
        <w:pStyle w:val="2"/>
        <w:pageBreakBefore w:val="0"/>
        <w:kinsoku/>
        <w:wordWrap/>
        <w:overflowPunct/>
        <w:topLinePunct w:val="0"/>
        <w:bidi w:val="0"/>
        <w:spacing w:line="594" w:lineRule="exact"/>
        <w:textAlignment w:val="auto"/>
        <w:rPr>
          <w:rFonts w:hint="eastAsia" w:ascii="方正仿宋_GBK" w:hAnsi="方正仿宋_GBK" w:eastAsia="方正仿宋_GBK" w:cs="方正仿宋_GBK"/>
          <w:b/>
          <w:color w:val="auto"/>
          <w:kern w:val="2"/>
          <w:sz w:val="32"/>
          <w:szCs w:val="32"/>
          <w:highlight w:val="none"/>
          <w:lang w:val="en-US" w:eastAsia="zh-CN" w:bidi="ar-SA"/>
        </w:rPr>
      </w:pPr>
    </w:p>
    <w:p>
      <w:pPr>
        <w:pStyle w:val="2"/>
        <w:pageBreakBefore w:val="0"/>
        <w:kinsoku/>
        <w:wordWrap/>
        <w:overflowPunct/>
        <w:topLinePunct w:val="0"/>
        <w:bidi w:val="0"/>
        <w:spacing w:line="594" w:lineRule="exact"/>
        <w:textAlignment w:val="auto"/>
        <w:rPr>
          <w:rFonts w:hint="eastAsia" w:ascii="方正仿宋_GBK" w:hAnsi="方正仿宋_GBK" w:eastAsia="方正仿宋_GBK" w:cs="方正仿宋_GBK"/>
          <w:b/>
          <w:color w:val="auto"/>
          <w:kern w:val="2"/>
          <w:sz w:val="32"/>
          <w:szCs w:val="32"/>
          <w:highlight w:val="none"/>
          <w:lang w:val="en-US" w:eastAsia="zh-CN" w:bidi="ar-SA"/>
        </w:rPr>
      </w:pPr>
    </w:p>
    <w:p>
      <w:pPr>
        <w:pStyle w:val="2"/>
        <w:pageBreakBefore w:val="0"/>
        <w:kinsoku/>
        <w:wordWrap/>
        <w:overflowPunct/>
        <w:topLinePunct w:val="0"/>
        <w:bidi w:val="0"/>
        <w:spacing w:line="594" w:lineRule="exact"/>
        <w:textAlignment w:val="auto"/>
        <w:rPr>
          <w:rFonts w:hint="eastAsia" w:ascii="方正仿宋_GBK" w:hAnsi="方正仿宋_GBK" w:eastAsia="方正仿宋_GBK" w:cs="方正仿宋_GBK"/>
          <w:b/>
          <w:color w:val="auto"/>
          <w:kern w:val="2"/>
          <w:sz w:val="32"/>
          <w:szCs w:val="32"/>
          <w:highlight w:val="none"/>
          <w:lang w:val="en-US" w:eastAsia="zh-CN" w:bidi="ar-SA"/>
        </w:rPr>
      </w:pPr>
    </w:p>
    <w:p>
      <w:pPr>
        <w:pStyle w:val="5"/>
        <w:pageBreakBefore w:val="0"/>
        <w:kinsoku/>
        <w:wordWrap/>
        <w:overflowPunct/>
        <w:topLinePunct w:val="0"/>
        <w:bidi w:val="0"/>
        <w:spacing w:before="0" w:after="0" w:line="594" w:lineRule="exact"/>
        <w:jc w:val="center"/>
        <w:textAlignment w:val="auto"/>
        <w:rPr>
          <w:rFonts w:hint="default" w:ascii="Times New Roman" w:hAnsi="Times New Roman" w:eastAsia="方正黑体_GBK" w:cs="Times New Roman"/>
          <w:color w:val="auto"/>
          <w:sz w:val="44"/>
          <w:szCs w:val="44"/>
          <w:highlight w:val="none"/>
          <w:u w:val="single"/>
        </w:rPr>
      </w:pPr>
      <w:r>
        <w:rPr>
          <w:rFonts w:hint="default" w:ascii="Times New Roman" w:hAnsi="Times New Roman" w:eastAsia="方正黑体_GBK" w:cs="Times New Roman"/>
          <w:b/>
          <w:color w:val="auto"/>
          <w:kern w:val="2"/>
          <w:sz w:val="44"/>
          <w:szCs w:val="44"/>
          <w:highlight w:val="none"/>
          <w:lang w:val="en-US" w:eastAsia="zh-CN" w:bidi="ar-SA"/>
        </w:rPr>
        <w:t>投标承诺书</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重庆市农业投资集团有限公司 ：</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我方根据你方发出的重庆市农业投资集团有限公司常年税务顾问服务项目（以下简称“本项目”）的招标文件，我方就本项目的投标工作，作出以下承诺：</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1.我方经仔细阅读和认真研究上述招标文件、答疑纪要（如有）及有关附件的所有内容后，已完全理解并同意接受招标文件涉及的各项要求与权利。</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2.我方于投标前以对本项目进行了充分调研，确保中标后按合同约定顺利履行相关条款，对于以上可能产生的费用及风险均由我方自行承担。</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3.若我方有幸中标，则在合同履行过程中出现的各种变更，由发标人与我方共同进行确认，并以最终协商结果为准。</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4.我方承诺：一旦我方中标，将保证按合同约定按期履行相关条款。</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5.我方保证上述承诺的内容真实和准确，并愿意承担因我方就此弄虚作假所引起的一切法律后果。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特此承诺。</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投 标 人：（工作单位盖章）</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default" w:ascii="Times New Roman" w:hAnsi="Times New Roman" w:eastAsia="方正仿宋_GBK" w:cs="Times New Roman"/>
          <w:color w:val="auto"/>
          <w:highlight w:val="none"/>
        </w:rPr>
      </w:pPr>
      <w:r>
        <w:rPr>
          <w:rFonts w:hint="eastAsia" w:ascii="方正仿宋_GBK" w:hAnsi="方正仿宋_GBK" w:eastAsia="方正仿宋_GBK" w:cs="方正仿宋_GBK"/>
          <w:color w:val="auto"/>
          <w:sz w:val="32"/>
          <w:szCs w:val="32"/>
          <w:highlight w:val="none"/>
          <w:lang w:val="en-US" w:eastAsia="zh-CN"/>
        </w:rPr>
        <w:t xml:space="preserve">                                年       月     </w:t>
      </w:r>
      <w:bookmarkStart w:id="3" w:name="_Toc184635139"/>
      <w:r>
        <w:rPr>
          <w:rFonts w:hint="eastAsia" w:ascii="方正仿宋_GBK" w:hAnsi="方正仿宋_GBK" w:eastAsia="方正仿宋_GBK" w:cs="方正仿宋_GBK"/>
          <w:color w:val="auto"/>
          <w:sz w:val="32"/>
          <w:szCs w:val="32"/>
          <w:highlight w:val="none"/>
          <w:lang w:val="en-US" w:eastAsia="zh-CN"/>
        </w:rPr>
        <w:t>日</w:t>
      </w:r>
      <w:bookmarkEnd w:id="3"/>
    </w:p>
    <w:sectPr>
      <w:headerReference r:id="rId8" w:type="default"/>
      <w:footerReference r:id="rId9" w:type="default"/>
      <w:pgSz w:w="11906" w:h="16838"/>
      <w:pgMar w:top="1134" w:right="1565" w:bottom="1134" w:left="1381"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 w:date="2025-03-18T18:50:41Z" w:initials="">
    <w:p w14:paraId="710C4C6C">
      <w:pPr>
        <w:pStyle w:val="6"/>
        <w:rPr>
          <w:rFonts w:hint="eastAsia" w:eastAsia="仿宋_GB2312"/>
          <w:lang w:eastAsia="zh-CN"/>
        </w:rPr>
      </w:pPr>
      <w:r>
        <w:rPr>
          <w:rFonts w:hint="eastAsia"/>
          <w:lang w:eastAsia="zh-CN"/>
        </w:rPr>
        <w:t>价格分占比是否低了点？技术评审分占比是否高了？</w:t>
      </w:r>
    </w:p>
  </w:comment>
  <w:comment w:id="1" w:author="S" w:date="2025-03-20T09:07:53Z" w:initials="">
    <w:p w14:paraId="315622CE">
      <w:pPr>
        <w:pStyle w:val="6"/>
        <w:rPr>
          <w:rFonts w:hint="eastAsia" w:eastAsia="仿宋_GB2312"/>
          <w:lang w:eastAsia="zh-CN"/>
        </w:rPr>
      </w:pPr>
      <w:r>
        <w:rPr>
          <w:rFonts w:hint="eastAsia"/>
          <w:lang w:eastAsia="zh-CN"/>
        </w:rPr>
        <w:t>咨询下保密协议是单独签还是以合同条款的形式反映好些。</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0C4C6C" w15:done="0"/>
  <w15:commentEx w15:paraId="315622C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5</w:t>
    </w:r>
    <w:r>
      <w:rPr>
        <w:rStyle w:val="16"/>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4lI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KEuJSGQIAACMEAAAOAAAA&#10;AAAAAAEAIAAAAB8BAABkcnMvZTJvRG9jLnhtbFBLBQYAAAAABgAGAFkBAACqBQAAAAA=&#10;">
              <v:fill on="f" focussize="0,0"/>
              <v:stroke on="f" weight="0.5pt"/>
              <v:imagedata o:title=""/>
              <o:lock v:ext="edit" aspectratio="f"/>
              <v:textbox inset="0mm,0mm,0mm,0mm" style="mso-fit-shape-to-text:t;">
                <w:txbxContent>
                  <w:p>
                    <w:pPr>
                      <w:pStyle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gqBcbAgAAIwQAAA4AAABkcnMvZTJvRG9jLnhtbK1Ty47TMBTdI/EP&#10;lvc0aUe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p99TZ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KugqBcbAgAAIwQAAA4A&#10;AAAAAAAAAQAgAAAAHwEAAGRycy9lMm9Eb2MueG1sUEsFBgAAAAAGAAYAWQEAAKwFA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9358C"/>
    <w:multiLevelType w:val="singleLevel"/>
    <w:tmpl w:val="67D9358C"/>
    <w:lvl w:ilvl="0" w:tentative="0">
      <w:start w:val="5"/>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
    <w15:presenceInfo w15:providerId="None" w15:userI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jZhYmY4NmQ0MjM3YzBhMGIxNTk2ZDI4MzEwOWEifQ=="/>
  </w:docVars>
  <w:rsids>
    <w:rsidRoot w:val="29FE3C42"/>
    <w:rsid w:val="017A1524"/>
    <w:rsid w:val="036F7E02"/>
    <w:rsid w:val="03D919AD"/>
    <w:rsid w:val="03F13366"/>
    <w:rsid w:val="05396B0B"/>
    <w:rsid w:val="062B4E25"/>
    <w:rsid w:val="06A32359"/>
    <w:rsid w:val="08B27180"/>
    <w:rsid w:val="08B31377"/>
    <w:rsid w:val="0A6420A9"/>
    <w:rsid w:val="0C1A4D56"/>
    <w:rsid w:val="0C480376"/>
    <w:rsid w:val="0CE2096B"/>
    <w:rsid w:val="0D2654A8"/>
    <w:rsid w:val="0E277C0B"/>
    <w:rsid w:val="0F440155"/>
    <w:rsid w:val="10760908"/>
    <w:rsid w:val="10A7645A"/>
    <w:rsid w:val="114324BD"/>
    <w:rsid w:val="12B52EC8"/>
    <w:rsid w:val="12B92780"/>
    <w:rsid w:val="13171CE4"/>
    <w:rsid w:val="13487BC8"/>
    <w:rsid w:val="13A57BD1"/>
    <w:rsid w:val="143972C4"/>
    <w:rsid w:val="14BB084F"/>
    <w:rsid w:val="15035901"/>
    <w:rsid w:val="154E2D9F"/>
    <w:rsid w:val="157770DE"/>
    <w:rsid w:val="15F8196F"/>
    <w:rsid w:val="1648645C"/>
    <w:rsid w:val="1747706C"/>
    <w:rsid w:val="185B3EAC"/>
    <w:rsid w:val="187261E0"/>
    <w:rsid w:val="188616E7"/>
    <w:rsid w:val="188F291E"/>
    <w:rsid w:val="18AA0493"/>
    <w:rsid w:val="19901529"/>
    <w:rsid w:val="19DF4F3D"/>
    <w:rsid w:val="1C2C3EE6"/>
    <w:rsid w:val="1DCC20AE"/>
    <w:rsid w:val="1DEE7E3A"/>
    <w:rsid w:val="1E014506"/>
    <w:rsid w:val="1F396E41"/>
    <w:rsid w:val="20167BEB"/>
    <w:rsid w:val="205A382A"/>
    <w:rsid w:val="206832BD"/>
    <w:rsid w:val="224404DF"/>
    <w:rsid w:val="226F5B0C"/>
    <w:rsid w:val="23094DF9"/>
    <w:rsid w:val="24924C69"/>
    <w:rsid w:val="24CB3B3A"/>
    <w:rsid w:val="264016BF"/>
    <w:rsid w:val="298372FA"/>
    <w:rsid w:val="29FE3C42"/>
    <w:rsid w:val="2A164DD1"/>
    <w:rsid w:val="2ABF3C04"/>
    <w:rsid w:val="2AC66405"/>
    <w:rsid w:val="2BD82740"/>
    <w:rsid w:val="2CCA15ED"/>
    <w:rsid w:val="2ED83315"/>
    <w:rsid w:val="2EFB42B1"/>
    <w:rsid w:val="2F7431E9"/>
    <w:rsid w:val="2F827882"/>
    <w:rsid w:val="2F8E713D"/>
    <w:rsid w:val="2F946472"/>
    <w:rsid w:val="2FCC64AE"/>
    <w:rsid w:val="30F87EEC"/>
    <w:rsid w:val="3319096D"/>
    <w:rsid w:val="33EE3001"/>
    <w:rsid w:val="35100EAC"/>
    <w:rsid w:val="35740261"/>
    <w:rsid w:val="3788762C"/>
    <w:rsid w:val="383A4DE5"/>
    <w:rsid w:val="399B2144"/>
    <w:rsid w:val="3A226455"/>
    <w:rsid w:val="3A4D63B9"/>
    <w:rsid w:val="3AB01E5A"/>
    <w:rsid w:val="3AB61A85"/>
    <w:rsid w:val="3AC3244C"/>
    <w:rsid w:val="3B602012"/>
    <w:rsid w:val="3CA711DD"/>
    <w:rsid w:val="3CEF231A"/>
    <w:rsid w:val="3D492872"/>
    <w:rsid w:val="3DB52E6D"/>
    <w:rsid w:val="3E0E185F"/>
    <w:rsid w:val="3EDD0B34"/>
    <w:rsid w:val="412F5B09"/>
    <w:rsid w:val="41BC7F4E"/>
    <w:rsid w:val="42245163"/>
    <w:rsid w:val="449F69F4"/>
    <w:rsid w:val="44D67D37"/>
    <w:rsid w:val="451465D0"/>
    <w:rsid w:val="46217AD4"/>
    <w:rsid w:val="46755CB6"/>
    <w:rsid w:val="473E31EA"/>
    <w:rsid w:val="48D02204"/>
    <w:rsid w:val="4A0822FB"/>
    <w:rsid w:val="4A8777B3"/>
    <w:rsid w:val="4A974E5F"/>
    <w:rsid w:val="4BCC651F"/>
    <w:rsid w:val="4C2D5426"/>
    <w:rsid w:val="4C582306"/>
    <w:rsid w:val="4CBE77A4"/>
    <w:rsid w:val="4DDA7F3D"/>
    <w:rsid w:val="4E1E1083"/>
    <w:rsid w:val="4F477F24"/>
    <w:rsid w:val="50003C5F"/>
    <w:rsid w:val="501C6CBB"/>
    <w:rsid w:val="511C2D35"/>
    <w:rsid w:val="511D2473"/>
    <w:rsid w:val="51B65A37"/>
    <w:rsid w:val="51FA7CA3"/>
    <w:rsid w:val="52416612"/>
    <w:rsid w:val="525E068C"/>
    <w:rsid w:val="56E16453"/>
    <w:rsid w:val="56EB75DD"/>
    <w:rsid w:val="57074EBF"/>
    <w:rsid w:val="581477F3"/>
    <w:rsid w:val="58667493"/>
    <w:rsid w:val="588967EF"/>
    <w:rsid w:val="5A824FAA"/>
    <w:rsid w:val="5ADB4BBB"/>
    <w:rsid w:val="5B1163E4"/>
    <w:rsid w:val="5BF41BBA"/>
    <w:rsid w:val="5CB41DEF"/>
    <w:rsid w:val="5D6B236E"/>
    <w:rsid w:val="5DAB7D2A"/>
    <w:rsid w:val="5F07515A"/>
    <w:rsid w:val="5F532C55"/>
    <w:rsid w:val="5F5D69F6"/>
    <w:rsid w:val="5F8242BD"/>
    <w:rsid w:val="606F1E6D"/>
    <w:rsid w:val="610077F8"/>
    <w:rsid w:val="619D50FF"/>
    <w:rsid w:val="620D44DC"/>
    <w:rsid w:val="63EE0517"/>
    <w:rsid w:val="63FE5C50"/>
    <w:rsid w:val="65A911C6"/>
    <w:rsid w:val="65C57F7B"/>
    <w:rsid w:val="666B0F1A"/>
    <w:rsid w:val="66925F6E"/>
    <w:rsid w:val="66B15ED8"/>
    <w:rsid w:val="671309C0"/>
    <w:rsid w:val="68A64ACE"/>
    <w:rsid w:val="698B3AFB"/>
    <w:rsid w:val="6A455A08"/>
    <w:rsid w:val="6BA26ECC"/>
    <w:rsid w:val="6BC56C19"/>
    <w:rsid w:val="6EB27995"/>
    <w:rsid w:val="70183986"/>
    <w:rsid w:val="703E7EBE"/>
    <w:rsid w:val="709B6E68"/>
    <w:rsid w:val="71642547"/>
    <w:rsid w:val="716F0A11"/>
    <w:rsid w:val="720F1A23"/>
    <w:rsid w:val="740D3AA0"/>
    <w:rsid w:val="747056D4"/>
    <w:rsid w:val="74DC4768"/>
    <w:rsid w:val="76C45B4D"/>
    <w:rsid w:val="76ED1551"/>
    <w:rsid w:val="77FB40F8"/>
    <w:rsid w:val="787A2A63"/>
    <w:rsid w:val="79336DD1"/>
    <w:rsid w:val="7BDB3A4A"/>
    <w:rsid w:val="7C282E24"/>
    <w:rsid w:val="7DA30EF2"/>
    <w:rsid w:val="7ECF443B"/>
    <w:rsid w:val="7F4D6542"/>
    <w:rsid w:val="7FD029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rPr>
      <w:rFonts w:eastAsia="宋体"/>
      <w:sz w:val="21"/>
      <w:szCs w:val="24"/>
    </w:rPr>
  </w:style>
  <w:style w:type="paragraph" w:styleId="8">
    <w:name w:val="toc 5"/>
    <w:basedOn w:val="1"/>
    <w:next w:val="1"/>
    <w:qFormat/>
    <w:uiPriority w:val="0"/>
    <w:pPr>
      <w:ind w:left="1680" w:leftChars="8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next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qFormat/>
    <w:uiPriority w:val="0"/>
    <w:rPr>
      <w:color w:val="0000FF"/>
      <w:u w:val="single"/>
    </w:rPr>
  </w:style>
  <w:style w:type="paragraph" w:customStyle="1" w:styleId="18">
    <w:name w:val="样式1"/>
    <w:basedOn w:val="10"/>
    <w:next w:val="1"/>
    <w:qFormat/>
    <w:uiPriority w:val="0"/>
    <w:pPr>
      <w:tabs>
        <w:tab w:val="left" w:pos="720"/>
      </w:tabs>
      <w:ind w:firstLine="360"/>
    </w:pPr>
    <w:rPr>
      <w:sz w:val="28"/>
      <w:szCs w:val="20"/>
    </w:rPr>
  </w:style>
  <w:style w:type="paragraph" w:customStyle="1" w:styleId="19">
    <w:name w:val="标准正文"/>
    <w:basedOn w:val="1"/>
    <w:qFormat/>
    <w:uiPriority w:val="0"/>
    <w:pPr>
      <w:ind w:firstLine="480"/>
    </w:pPr>
    <w:rPr>
      <w:szCs w:val="22"/>
      <w:lang w:val="zh-CN"/>
    </w:rPr>
  </w:style>
  <w:style w:type="table" w:customStyle="1" w:styleId="20">
    <w:name w:val="Table Normal"/>
    <w:unhideWhenUsed/>
    <w:qFormat/>
    <w:uiPriority w:val="2"/>
    <w:tblPr>
      <w:tblCellMar>
        <w:top w:w="0" w:type="dxa"/>
        <w:left w:w="0" w:type="dxa"/>
        <w:bottom w:w="0" w:type="dxa"/>
        <w:right w:w="0" w:type="dxa"/>
      </w:tblCellMar>
    </w:tblPr>
  </w:style>
  <w:style w:type="paragraph" w:customStyle="1" w:styleId="21">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font11"/>
    <w:basedOn w:val="14"/>
    <w:qFormat/>
    <w:uiPriority w:val="0"/>
    <w:rPr>
      <w:rFonts w:ascii="font-weight : 400" w:hAnsi="font-weight : 400" w:eastAsia="font-weight : 400" w:cs="font-weight : 400"/>
      <w:color w:val="000000"/>
      <w:sz w:val="22"/>
      <w:szCs w:val="22"/>
      <w:u w:val="none"/>
    </w:rPr>
  </w:style>
  <w:style w:type="character" w:customStyle="1" w:styleId="23">
    <w:name w:val="font0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8329</Words>
  <Characters>8764</Characters>
  <Lines>0</Lines>
  <Paragraphs>0</Paragraphs>
  <TotalTime>2</TotalTime>
  <ScaleCrop>false</ScaleCrop>
  <LinksUpToDate>false</LinksUpToDate>
  <CharactersWithSpaces>9479</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2022-08-24T00:55:00Z</dcterms:created>
  <dc:creator>无溟</dc:creator>
  <cp:lastModifiedBy>nt</cp:lastModifiedBy>
  <cp:lastPrinted>2025-03-20T02:17:00Z</cp:lastPrinted>
  <dcterms:modified xsi:type="dcterms:W3CDTF">2025-05-06T01:55:03Z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9A042EF3656A46589B48F640250D1F4C</vt:lpwstr>
  </property>
</Properties>
</file>