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技术参数表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67"/>
        <w:gridCol w:w="814"/>
        <w:gridCol w:w="1160"/>
        <w:gridCol w:w="641"/>
        <w:gridCol w:w="793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市农业投资集团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有限公司网络设备及续保与搬迁服务采购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是否进口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■国产    □进口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数量/计量单位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最高投标限价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1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采购网络设备及续保与搬迁服务功能要求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1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改造办公网络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架构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提升办公网络性能，增强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稳定性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1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采购网络设备及续保与搬迁服务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项目配置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出口路由器续保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旧设备原厂续保，续保年限为3年。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旧设备原厂续保，续保年限为3年。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48口接入交换机续保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旧设备原厂续保，续保年限为3年。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商用路由器续保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旧设备技术续保，续保年限为3年。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PoE以太网交换机续保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旧设备技术续保，续保年限为3年。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无线控制器续保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旧设备技术续保，续保年限为3年。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无线AP续保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旧设备技术续保，续保年限为3年。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48口接入交换机新购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12U机柜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机柜电源专用插座（PDU）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机制六类非屏蔽跳线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网络设备搬迁调试安装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搬迁调试安装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出口路由器续保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1、设备品牌及型号：H3C MSR3610-I-XS；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接口:6GE电口，2个千兆Combo口,4个千兆光口；配置冗余电源；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、内存8G；槽位4个，支持硬盘扩展；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、业务功能:该设备支持IPv6、ND、ICMPv6协议;支持RIPng、OSPFv3、IS-ISv6、BGP4+等路由协议;支持MLD、PIM-SM组播协议；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5、提供3年原厂维保，并出具加盖原厂鲜章的维保服务承诺函。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核心交换机续保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1、设备品牌及型号：H3C 5560X-30C-EI；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模块化双交流电源、双风扇框模块（前后通风），24个千兆电口（含8个千兆光电复用口）、4个万兆光口、空余1个业务板卡扩展槽位；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交换容量:750Gbps、包转发率:220Mpps；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支持堆叠功能，支持本地负载分担和单点管理；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、支持通过VXLAN技术实现不同交换机的二层或三层互通功能；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6、提供3年原厂维保，并出具加盖原厂鲜章的维保服务承诺函。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48口接入交换机续保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1、设备品牌及型号：H3C S5120V3-54P-EI；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2、48个千兆电口，6个千兆光口；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3、交换容量:432Gbps，包转发率:144Mpps；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4、支持基于端口的二三层优先级自动映射，支持基于端口的镜像，支持重定向，支持端口隔离，支持访问控制列表，支持端口限速，支持丰富以太网IPv6功能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5、提供3年原厂维保，并出具加盖原厂鲜章的维保服务承诺函。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商用路由器续保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设备品牌及型号：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TL-ER5120G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5个千兆电口；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支持一对一NAT、NAPT、虚拟服务器、ALG、NAT-DMZ；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支持ARP扫描、ARP列表、GARP；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Web认证，支持本地认证、Radius认证、一键上网，满足多种认证需求；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、提供3年技术维保，由投标供应商提供设备维修及备品备件服务，并出具加盖投标供应商鲜章的维保服务承诺函。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PoE以太网交换机续保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设备品牌及型号：TL-SG2024MP；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24个10/100/1000Base-T RJ45端口（支持标准PoE+供电）</w:t>
            </w:r>
            <w:r>
              <w:rPr>
                <w:rFonts w:hint="eastAsia" w:ascii="仿宋" w:hAnsi="仿宋" w:eastAsia="仿宋"/>
                <w:color w:val="00000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支持ERPS环网协议，RPL配置，支持环网数5，收敛时间≤50ms；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支持802.1Q VLAN、Port VLAN、QoS、带宽控制、风暴抑制；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支持端口汇聚、端口流量统计、端口监控、线缆检测、环回保护；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★6、提供3年技术维保，由投标供应商提供设备维修及备品备件服务，并出具加盖投标供应商鲜章的维保服务承诺函。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无线AP控制器续保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1、设备品牌及型号：TP-Link TL-AC300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2、支持AP自动发现，最多可管理300个AP；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3、5个10/100/1000M RJ45端口；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4、支持自动信道调整；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5、支持基于接入用戶数的负载均衡；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★6、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提供3年技术维保，由投标供应商提供设备维修及备品备件支持服务，并出具加盖投标供应商鲜章的维保服务承诺函。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无线AP续保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1、设备品牌及型号：TP-Link TL-AP1908GC-PoE；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2、双频并发，最高无线速率可达1900Mbps；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3、1个10/100/1000M RJ45端口；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4、支持FAT/FIT模式；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★5、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提供3年技术维保，由投标供应商提供设备维修及备品备件支持服务，并出具加盖投标供应商鲜章的维保服务承诺函。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48口接入交换机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★1、采用国产化芯片、自主可控，提供权威第三方测试报告；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2、交换容量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≥672Gbps，包转发率≥207Mpps；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3、≥48个千兆电口，≥6个万兆光口；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4、支持静态路由、RIPv1/v2，RIPng、OSPFv1/v2，OSPFv3；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5、支持端口聚合/静态聚合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6、为保证网络运维质量和稳定性，投标供应商所投产品型号须为新华三S5130S-54S-EI-G、华为S5735-L48T4XE-A-V2、迈普NSS4330-56TXP或同档次品牌型号；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、提供3年原厂维保，并出具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盖原厂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章的售后服务承诺函。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600*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*高638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U壁挂机柜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PDU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8位10A 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米电源线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机制六类非屏蔽跳线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1、线规26AWG/7*0.2实心无氧铜多股线；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2、护套：RJ45水晶头与线缆之间采用软尾机压注塑成型结构，保证线缆和水晶头之间的稳定连接，防滑抗拉，牢固性强，且保证了一定的弯曲半径；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3、水晶头：压接簧片采用三叉50μ镀金，有效提高抗氧化能力，确保插拔1200次以上仍有优异的接触性能；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4、标准：传输性能参数满足ISO/IEC 11801 E类和TIA/EIA 568.2-D六类 的单体跳线标准；支持1G Base-T, 622M ATM 等高带宽应用；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5、线缆结构在原来的基础上增加了导光光纤，在两端接头处留有光源输入口，无需拔插可通过任意的可见光照明装置快速定位线缆两端的关系。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设备搬迁调试安装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1、搬迁及重新组网方案的制定与实施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2、硬件设备的拆卸、包装、运输及重新安装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3、搬迁临时组网设备提供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4、搬迁网络配置与安全设置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5、免费提供设备组网所需耗材及辅材；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6、整体系统调试与优化。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经济要求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详细要求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为做好重庆市农业投资集团有限公司总部办公网络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架构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提升办公网络性能，增强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安全性和稳定性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★预算安排情况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最高限价：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★交付时间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合同签订后30日历天内完成交付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★交付地点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甲方指定地点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售后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续保期间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硬件设备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出现非人为损坏故障免费维修，20个工作日内完成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硬件设备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修复工作，维修期间提供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硬件设备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备机使用；续保期间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</w:rPr>
              <w:t>故障响应时间：1小时电话响应，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小时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</w:rPr>
              <w:t>到达现场进行排障工作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</w:rPr>
              <w:t>小时内解决故障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★付款条件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合同签订后，付款方式以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正式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★质保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质保期：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项目整体质保时间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售后服务承诺书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</w:rPr>
              <w:t>质保期内，免费维修至网通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</w:rPr>
              <w:t>运维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000000"/>
              </w:rPr>
              <w:t>人员须具备网络相关专业职称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说明：</w:t>
      </w:r>
      <w:r>
        <w:rPr>
          <w:rFonts w:hint="eastAsia" w:ascii="方正楷体_GBK" w:hAnsi="方正楷体_GBK" w:eastAsia="方正楷体_GBK" w:cs="方正楷体_GBK"/>
          <w:b/>
          <w:sz w:val="30"/>
          <w:szCs w:val="30"/>
          <w:lang w:val="en-US" w:eastAsia="zh-CN"/>
        </w:rPr>
        <w:t>采购网络设备及续保与搬迁服务项目</w:t>
      </w:r>
      <w:r>
        <w:rPr>
          <w:rFonts w:hint="eastAsia" w:ascii="方正楷体_GBK" w:hAnsi="方正楷体_GBK" w:eastAsia="方正楷体_GBK" w:cs="方正楷体_GBK"/>
          <w:b/>
          <w:sz w:val="30"/>
          <w:szCs w:val="30"/>
        </w:rPr>
        <w:t>功能要求</w:t>
      </w:r>
      <w:r>
        <w:rPr>
          <w:rFonts w:hint="eastAsia" w:ascii="方正楷体_GBK" w:hAnsi="方正楷体_GBK" w:eastAsia="方正楷体_GBK" w:cs="方正楷体_GBK"/>
          <w:b/>
          <w:sz w:val="30"/>
          <w:szCs w:val="30"/>
          <w:lang w:val="en-US" w:eastAsia="zh-CN"/>
        </w:rPr>
        <w:t>及</w:t>
      </w:r>
      <w:r>
        <w:rPr>
          <w:rFonts w:hint="eastAsia" w:ascii="方正楷体_GBK" w:hAnsi="方正楷体_GBK" w:eastAsia="方正楷体_GBK" w:cs="方正楷体_GBK"/>
          <w:b/>
          <w:sz w:val="30"/>
          <w:szCs w:val="30"/>
        </w:rPr>
        <w:t>配置清单</w:t>
      </w:r>
      <w:r>
        <w:rPr>
          <w:rFonts w:hint="eastAsia" w:ascii="方正楷体_GBK" w:hAnsi="方正楷体_GBK" w:eastAsia="方正楷体_GBK" w:cs="方正楷体_GBK"/>
          <w:b/>
          <w:sz w:val="30"/>
          <w:szCs w:val="30"/>
          <w:highlight w:val="none"/>
        </w:rPr>
        <w:t>为必备要求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，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0"/>
          <w:szCs w:val="30"/>
        </w:rPr>
        <w:t>所有要求必须全满足，凡有未满足的响应不予认可。投标人须提供所有技术参数的支持资料，包括但不限于生产商公开发布的资料（含生产商出具的产品规格表、产品宣传彩页、技术白皮书、说明书等或检测机构出具的检测报告等，若支持材料不能体现为生产商所有，需加盖生产商公章，开标现场检测报告原件备查）。凡未提供有效证明文件的响应不予认可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446" w:bottom="1644" w:left="1446" w:header="851" w:footer="992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667"/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489"/>
      </w:tabs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7AE8"/>
    <w:rsid w:val="3A222BAF"/>
    <w:rsid w:val="3B625D56"/>
    <w:rsid w:val="5C04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2025-06-23T07:55:00Z</dcterms:created>
  <dc:creator>nt</dc:creator>
  <cp:lastModifiedBy>nt</cp:lastModifiedBy>
  <dcterms:modified xsi:type="dcterms:W3CDTF">2025-06-23T07:55:39Z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